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3F1F" w14:textId="7DAA0C1D" w:rsidR="00A205EC" w:rsidRDefault="00A205EC" w:rsidP="00364666">
      <w:pPr>
        <w:pStyle w:val="Heading1"/>
        <w:spacing w:before="67"/>
        <w:ind w:left="0" w:right="787" w:firstLine="0"/>
      </w:pPr>
    </w:p>
    <w:p w14:paraId="7F9FC12C" w14:textId="2EC2B2F1" w:rsidR="00364666" w:rsidRDefault="00364666" w:rsidP="00364666">
      <w:pPr>
        <w:pStyle w:val="Heading1"/>
        <w:spacing w:before="67"/>
        <w:ind w:left="0" w:right="787" w:firstLine="0"/>
      </w:pPr>
    </w:p>
    <w:p w14:paraId="7E578810" w14:textId="7F0BB6B5" w:rsidR="00364666" w:rsidRDefault="00364666" w:rsidP="00364666">
      <w:pPr>
        <w:pStyle w:val="Heading1"/>
        <w:spacing w:before="67"/>
        <w:ind w:left="0" w:right="787" w:firstLine="0"/>
      </w:pPr>
    </w:p>
    <w:p w14:paraId="573B4736" w14:textId="77777777" w:rsidR="005A0FCB" w:rsidRDefault="005A0FCB" w:rsidP="00364666">
      <w:pPr>
        <w:pStyle w:val="Heading1"/>
        <w:spacing w:before="67"/>
        <w:ind w:left="0" w:right="787" w:firstLine="0"/>
      </w:pPr>
    </w:p>
    <w:p w14:paraId="48027FD7" w14:textId="77777777" w:rsidR="005A0FCB" w:rsidRDefault="005A0FCB" w:rsidP="00364666">
      <w:pPr>
        <w:pStyle w:val="Heading1"/>
        <w:spacing w:before="67"/>
        <w:ind w:left="0" w:right="787" w:firstLine="0"/>
      </w:pPr>
    </w:p>
    <w:p w14:paraId="4C39ABD2" w14:textId="77777777" w:rsidR="005A0FCB" w:rsidRDefault="005A0FCB" w:rsidP="00364666">
      <w:pPr>
        <w:pStyle w:val="Heading1"/>
        <w:spacing w:before="67"/>
        <w:ind w:left="0" w:right="787" w:firstLine="0"/>
      </w:pPr>
    </w:p>
    <w:p w14:paraId="7F6D4957" w14:textId="1EA39E18" w:rsidR="00364666" w:rsidRDefault="00364666" w:rsidP="00364666">
      <w:pPr>
        <w:pStyle w:val="Heading1"/>
        <w:spacing w:before="67"/>
        <w:ind w:left="0" w:right="787" w:firstLine="0"/>
      </w:pPr>
    </w:p>
    <w:p w14:paraId="1D601F54" w14:textId="0DB3A506" w:rsidR="005A0FCB" w:rsidRPr="005A0FCB" w:rsidRDefault="005A0FCB" w:rsidP="005A0FCB">
      <w:pPr>
        <w:pStyle w:val="Heading1"/>
        <w:spacing w:before="67"/>
        <w:ind w:left="0" w:right="19" w:firstLine="0"/>
        <w:jc w:val="center"/>
        <w:rPr>
          <w:rFonts w:ascii="Bookman Old Style" w:hAnsi="Bookman Old Style"/>
          <w:i/>
          <w:iCs/>
          <w:sz w:val="36"/>
          <w:szCs w:val="36"/>
        </w:rPr>
      </w:pPr>
      <w:r w:rsidRPr="005A0FCB">
        <w:rPr>
          <w:rFonts w:ascii="Bookman Old Style" w:hAnsi="Bookman Old Style"/>
          <w:i/>
          <w:iCs/>
          <w:sz w:val="36"/>
          <w:szCs w:val="36"/>
        </w:rPr>
        <w:t>AVAX APPARELS AND ORNAMENTS LIMITED</w:t>
      </w:r>
    </w:p>
    <w:p w14:paraId="37BC8494" w14:textId="774496F5" w:rsidR="005A0FCB" w:rsidRPr="005A0FCB" w:rsidRDefault="005A0FCB" w:rsidP="005A0FCB">
      <w:pPr>
        <w:pStyle w:val="Heading1"/>
        <w:spacing w:before="67"/>
        <w:ind w:left="0" w:right="19" w:firstLine="0"/>
        <w:jc w:val="center"/>
        <w:rPr>
          <w:rFonts w:ascii="Bookman Old Style" w:hAnsi="Bookman Old Style"/>
          <w:i/>
          <w:iCs/>
          <w:sz w:val="24"/>
          <w:szCs w:val="24"/>
        </w:rPr>
      </w:pPr>
      <w:r w:rsidRPr="005A0FCB">
        <w:rPr>
          <w:rFonts w:ascii="Bookman Old Style" w:hAnsi="Bookman Old Style"/>
          <w:i/>
          <w:iCs/>
          <w:sz w:val="24"/>
          <w:szCs w:val="24"/>
        </w:rPr>
        <w:t>(</w:t>
      </w:r>
      <w:proofErr w:type="gramStart"/>
      <w:r w:rsidRPr="005A0FCB">
        <w:rPr>
          <w:rFonts w:ascii="Bookman Old Style" w:hAnsi="Bookman Old Style"/>
          <w:i/>
          <w:iCs/>
          <w:sz w:val="24"/>
          <w:szCs w:val="24"/>
        </w:rPr>
        <w:t>formerly</w:t>
      </w:r>
      <w:proofErr w:type="gramEnd"/>
      <w:r w:rsidRPr="005A0FCB">
        <w:rPr>
          <w:rFonts w:ascii="Bookman Old Style" w:hAnsi="Bookman Old Style"/>
          <w:i/>
          <w:iCs/>
          <w:sz w:val="24"/>
          <w:szCs w:val="24"/>
        </w:rPr>
        <w:t xml:space="preserve"> known as </w:t>
      </w:r>
      <w:proofErr w:type="spellStart"/>
      <w:r w:rsidRPr="005A0FCB">
        <w:rPr>
          <w:rFonts w:ascii="Bookman Old Style" w:hAnsi="Bookman Old Style"/>
          <w:i/>
          <w:iCs/>
          <w:sz w:val="24"/>
          <w:szCs w:val="24"/>
        </w:rPr>
        <w:t>Avax</w:t>
      </w:r>
      <w:proofErr w:type="spellEnd"/>
      <w:r w:rsidRPr="005A0FCB">
        <w:rPr>
          <w:rFonts w:ascii="Bookman Old Style" w:hAnsi="Bookman Old Style"/>
          <w:i/>
          <w:iCs/>
          <w:sz w:val="24"/>
          <w:szCs w:val="24"/>
        </w:rPr>
        <w:t xml:space="preserve"> Soft Technologies Limited)</w:t>
      </w:r>
    </w:p>
    <w:p w14:paraId="5555E0E2" w14:textId="77777777" w:rsidR="00364666" w:rsidRPr="00C00EFD" w:rsidRDefault="00364666" w:rsidP="00364666">
      <w:pPr>
        <w:pStyle w:val="Heading1"/>
        <w:spacing w:before="67"/>
        <w:ind w:left="0" w:right="787" w:firstLine="0"/>
      </w:pPr>
    </w:p>
    <w:p w14:paraId="1E6E7D87" w14:textId="3D57A111" w:rsidR="00DB096D" w:rsidRPr="00C00EFD" w:rsidRDefault="00377258" w:rsidP="00FD29FF">
      <w:pPr>
        <w:pStyle w:val="NoSpacing"/>
        <w:jc w:val="center"/>
        <w:rPr>
          <w:rFonts w:ascii="Bookman Old Style" w:hAnsi="Bookman Old Style"/>
          <w:b/>
          <w:i/>
          <w:sz w:val="40"/>
          <w:szCs w:val="40"/>
        </w:rPr>
      </w:pPr>
      <w:r w:rsidRPr="00C00EFD">
        <w:rPr>
          <w:rFonts w:ascii="Bookman Old Style" w:hAnsi="Bookman Old Style"/>
          <w:b/>
          <w:i/>
          <w:sz w:val="40"/>
          <w:szCs w:val="40"/>
        </w:rPr>
        <w:t>POLICY ON IDENTIFICATION OF MATERIAL CREDITORS AND MATERIAL LITIGATIONS</w:t>
      </w:r>
    </w:p>
    <w:p w14:paraId="0FD261DD" w14:textId="77777777" w:rsidR="00A205EC" w:rsidRPr="00C00EFD" w:rsidRDefault="00A205EC" w:rsidP="00A205EC">
      <w:pPr>
        <w:pStyle w:val="NoSpacing"/>
        <w:rPr>
          <w:rFonts w:ascii="Bookman Old Style" w:hAnsi="Bookman Old Style"/>
          <w:b/>
          <w:sz w:val="40"/>
          <w:szCs w:val="40"/>
        </w:rPr>
      </w:pPr>
    </w:p>
    <w:p w14:paraId="15010925" w14:textId="77777777" w:rsidR="00A205EC" w:rsidRPr="00C00EFD" w:rsidRDefault="00A205EC">
      <w:pPr>
        <w:pStyle w:val="Heading1"/>
        <w:spacing w:before="67"/>
        <w:ind w:left="4272" w:right="787" w:hanging="3243"/>
        <w:rPr>
          <w:rFonts w:ascii="Bookman Old Style" w:hAnsi="Bookman Old Style"/>
        </w:rPr>
      </w:pPr>
    </w:p>
    <w:p w14:paraId="63C88A36" w14:textId="77777777" w:rsidR="00A205EC" w:rsidRPr="00C00EFD" w:rsidRDefault="00A205EC">
      <w:pPr>
        <w:pStyle w:val="Heading1"/>
        <w:spacing w:before="67"/>
        <w:ind w:left="4272" w:right="787" w:hanging="3243"/>
        <w:rPr>
          <w:rFonts w:ascii="Bookman Old Style" w:hAnsi="Bookman Old Style"/>
        </w:rPr>
      </w:pPr>
    </w:p>
    <w:p w14:paraId="1F6B152F" w14:textId="77777777" w:rsidR="00A205EC" w:rsidRPr="00C00EFD" w:rsidRDefault="00A205EC">
      <w:pPr>
        <w:pStyle w:val="Heading1"/>
        <w:spacing w:before="67"/>
        <w:ind w:left="4272" w:right="787" w:hanging="3243"/>
        <w:rPr>
          <w:rFonts w:ascii="Bookman Old Style" w:hAnsi="Bookman Old Style"/>
        </w:rPr>
      </w:pPr>
    </w:p>
    <w:p w14:paraId="6A185E33" w14:textId="77777777" w:rsidR="00A205EC" w:rsidRPr="00C00EFD" w:rsidRDefault="00A205EC">
      <w:pPr>
        <w:pStyle w:val="Heading1"/>
        <w:spacing w:before="67"/>
        <w:ind w:left="4272" w:right="787" w:hanging="3243"/>
        <w:rPr>
          <w:rFonts w:ascii="Bookman Old Style" w:hAnsi="Bookman Old Style"/>
        </w:rPr>
      </w:pPr>
    </w:p>
    <w:p w14:paraId="43E2B839" w14:textId="77777777" w:rsidR="00A205EC" w:rsidRPr="00C00EFD" w:rsidRDefault="00A205EC">
      <w:pPr>
        <w:pStyle w:val="Heading1"/>
        <w:spacing w:before="67"/>
        <w:ind w:left="4272" w:right="787" w:hanging="3243"/>
        <w:rPr>
          <w:rFonts w:ascii="Bookman Old Style" w:hAnsi="Bookman Old Style"/>
        </w:rPr>
      </w:pPr>
    </w:p>
    <w:p w14:paraId="6BC2398C" w14:textId="77777777" w:rsidR="00A205EC" w:rsidRPr="00C00EFD" w:rsidRDefault="00A205EC">
      <w:pPr>
        <w:pStyle w:val="Heading1"/>
        <w:spacing w:before="67"/>
        <w:ind w:left="4272" w:right="787" w:hanging="3243"/>
        <w:rPr>
          <w:rFonts w:ascii="Bookman Old Style" w:hAnsi="Bookman Old Style"/>
        </w:rPr>
      </w:pPr>
    </w:p>
    <w:p w14:paraId="15269DB5" w14:textId="77777777" w:rsidR="00A205EC" w:rsidRPr="00C00EFD" w:rsidRDefault="00A205EC">
      <w:pPr>
        <w:pStyle w:val="Heading1"/>
        <w:spacing w:before="67"/>
        <w:ind w:left="4272" w:right="787" w:hanging="3243"/>
        <w:rPr>
          <w:rFonts w:ascii="Bookman Old Style" w:hAnsi="Bookman Old Style"/>
        </w:rPr>
      </w:pPr>
    </w:p>
    <w:p w14:paraId="057CE753" w14:textId="77777777" w:rsidR="00A205EC" w:rsidRPr="00C00EFD" w:rsidRDefault="00A205EC">
      <w:pPr>
        <w:pStyle w:val="Heading1"/>
        <w:spacing w:before="67"/>
        <w:ind w:left="4272" w:right="787" w:hanging="3243"/>
        <w:rPr>
          <w:rFonts w:ascii="Bookman Old Style" w:hAnsi="Bookman Old Style"/>
        </w:rPr>
      </w:pPr>
    </w:p>
    <w:p w14:paraId="23C301F8" w14:textId="77777777" w:rsidR="00A205EC" w:rsidRPr="00C00EFD" w:rsidRDefault="00A205EC">
      <w:pPr>
        <w:pStyle w:val="Heading1"/>
        <w:spacing w:before="67"/>
        <w:ind w:left="4272" w:right="787" w:hanging="3243"/>
        <w:rPr>
          <w:rFonts w:ascii="Bookman Old Style" w:hAnsi="Bookman Old Style"/>
        </w:rPr>
      </w:pPr>
    </w:p>
    <w:p w14:paraId="0B2F3E05" w14:textId="77777777" w:rsidR="00A205EC" w:rsidRPr="00C00EFD" w:rsidRDefault="00A205EC">
      <w:pPr>
        <w:pStyle w:val="Heading1"/>
        <w:spacing w:before="67"/>
        <w:ind w:left="4272" w:right="787" w:hanging="3243"/>
        <w:rPr>
          <w:rFonts w:ascii="Bookman Old Style" w:hAnsi="Bookman Old Style"/>
        </w:rPr>
      </w:pPr>
    </w:p>
    <w:p w14:paraId="2E6AFEC3" w14:textId="77777777" w:rsidR="00A205EC" w:rsidRPr="00C00EFD" w:rsidRDefault="00A205EC">
      <w:pPr>
        <w:pStyle w:val="Heading1"/>
        <w:spacing w:before="67"/>
        <w:ind w:left="4272" w:right="787" w:hanging="3243"/>
        <w:rPr>
          <w:rFonts w:ascii="Bookman Old Style" w:hAnsi="Bookman Old Style"/>
        </w:rPr>
      </w:pPr>
    </w:p>
    <w:p w14:paraId="59BC5A7A" w14:textId="77777777" w:rsidR="00A205EC" w:rsidRPr="00C00EFD" w:rsidRDefault="00A205EC">
      <w:pPr>
        <w:pStyle w:val="Heading1"/>
        <w:spacing w:before="67"/>
        <w:ind w:left="4272" w:right="787" w:hanging="3243"/>
        <w:rPr>
          <w:rFonts w:ascii="Bookman Old Style" w:hAnsi="Bookman Old Style"/>
        </w:rPr>
      </w:pPr>
    </w:p>
    <w:p w14:paraId="29E7D9C8" w14:textId="77777777" w:rsidR="00A205EC" w:rsidRPr="00C00EFD" w:rsidRDefault="00A205EC">
      <w:pPr>
        <w:pStyle w:val="Heading1"/>
        <w:spacing w:before="67"/>
        <w:ind w:left="4272" w:right="787" w:hanging="3243"/>
        <w:rPr>
          <w:rFonts w:ascii="Bookman Old Style" w:hAnsi="Bookman Old Style"/>
        </w:rPr>
      </w:pPr>
    </w:p>
    <w:p w14:paraId="3E9A90DE" w14:textId="77777777" w:rsidR="00A205EC" w:rsidRPr="00C00EFD" w:rsidRDefault="00A205EC">
      <w:pPr>
        <w:pStyle w:val="Heading1"/>
        <w:spacing w:before="67"/>
        <w:ind w:left="4272" w:right="787" w:hanging="3243"/>
        <w:rPr>
          <w:rFonts w:ascii="Bookman Old Style" w:hAnsi="Bookman Old Style"/>
        </w:rPr>
      </w:pPr>
    </w:p>
    <w:p w14:paraId="4AB46BDD" w14:textId="77777777" w:rsidR="00A205EC" w:rsidRPr="00C00EFD" w:rsidRDefault="00A205EC">
      <w:pPr>
        <w:pStyle w:val="Heading1"/>
        <w:spacing w:before="67"/>
        <w:ind w:left="4272" w:right="787" w:hanging="3243"/>
        <w:rPr>
          <w:rFonts w:ascii="Bookman Old Style" w:hAnsi="Bookman Old Style"/>
        </w:rPr>
      </w:pPr>
    </w:p>
    <w:p w14:paraId="069AE79D" w14:textId="77777777" w:rsidR="00A205EC" w:rsidRPr="00C00EFD" w:rsidRDefault="00A205EC">
      <w:pPr>
        <w:pStyle w:val="Heading1"/>
        <w:spacing w:before="67"/>
        <w:ind w:left="4272" w:right="787" w:hanging="3243"/>
        <w:rPr>
          <w:rFonts w:ascii="Bookman Old Style" w:hAnsi="Bookman Old Style"/>
        </w:rPr>
      </w:pPr>
    </w:p>
    <w:p w14:paraId="7FB41BD7" w14:textId="77777777" w:rsidR="00A205EC" w:rsidRPr="00C00EFD" w:rsidRDefault="00A205EC">
      <w:pPr>
        <w:pStyle w:val="Heading1"/>
        <w:spacing w:before="67"/>
        <w:ind w:left="4272" w:right="787" w:hanging="3243"/>
        <w:rPr>
          <w:rFonts w:ascii="Bookman Old Style" w:hAnsi="Bookman Old Style"/>
        </w:rPr>
      </w:pPr>
    </w:p>
    <w:p w14:paraId="3B9D14F2" w14:textId="77777777" w:rsidR="00A205EC" w:rsidRPr="00C00EFD" w:rsidRDefault="00A205EC">
      <w:pPr>
        <w:pStyle w:val="Heading1"/>
        <w:spacing w:before="67"/>
        <w:ind w:left="4272" w:right="787" w:hanging="3243"/>
        <w:rPr>
          <w:rFonts w:ascii="Bookman Old Style" w:hAnsi="Bookman Old Style"/>
        </w:rPr>
      </w:pPr>
    </w:p>
    <w:p w14:paraId="14395BE9" w14:textId="77777777" w:rsidR="00A205EC" w:rsidRPr="00C00EFD" w:rsidRDefault="00A205EC">
      <w:pPr>
        <w:pStyle w:val="Heading1"/>
        <w:spacing w:before="67"/>
        <w:ind w:left="4272" w:right="787" w:hanging="3243"/>
        <w:rPr>
          <w:rFonts w:ascii="Bookman Old Style" w:hAnsi="Bookman Old Style"/>
        </w:rPr>
      </w:pPr>
    </w:p>
    <w:p w14:paraId="7787C4DF" w14:textId="77777777" w:rsidR="00A205EC" w:rsidRPr="00C00EFD" w:rsidRDefault="00A205EC">
      <w:pPr>
        <w:pStyle w:val="Heading1"/>
        <w:spacing w:before="67"/>
        <w:ind w:left="4272" w:right="787" w:hanging="3243"/>
        <w:rPr>
          <w:rFonts w:ascii="Bookman Old Style" w:hAnsi="Bookman Old Style"/>
        </w:rPr>
      </w:pPr>
    </w:p>
    <w:p w14:paraId="2E9886F0" w14:textId="77777777" w:rsidR="00A205EC" w:rsidRPr="00C00EFD" w:rsidRDefault="00A205EC">
      <w:pPr>
        <w:pStyle w:val="Heading1"/>
        <w:spacing w:before="67"/>
        <w:ind w:left="4272" w:right="787" w:hanging="3243"/>
        <w:rPr>
          <w:rFonts w:ascii="Bookman Old Style" w:hAnsi="Bookman Old Style"/>
        </w:rPr>
      </w:pPr>
    </w:p>
    <w:p w14:paraId="2C7D7CA1" w14:textId="77777777" w:rsidR="00A205EC" w:rsidRPr="00C00EFD" w:rsidRDefault="00A205EC">
      <w:pPr>
        <w:pStyle w:val="Heading1"/>
        <w:spacing w:before="67"/>
        <w:ind w:left="4272" w:right="787" w:hanging="3243"/>
        <w:rPr>
          <w:rFonts w:ascii="Bookman Old Style" w:hAnsi="Bookman Old Style"/>
        </w:rPr>
      </w:pPr>
    </w:p>
    <w:p w14:paraId="6523055A" w14:textId="77777777" w:rsidR="00A205EC" w:rsidRPr="00C00EFD" w:rsidRDefault="00A205EC">
      <w:pPr>
        <w:pStyle w:val="Heading1"/>
        <w:spacing w:before="67"/>
        <w:ind w:left="4272" w:right="787" w:hanging="3243"/>
        <w:rPr>
          <w:rFonts w:ascii="Bookman Old Style" w:hAnsi="Bookman Old Style"/>
        </w:rPr>
      </w:pPr>
    </w:p>
    <w:p w14:paraId="0B9137DF" w14:textId="77777777" w:rsidR="00A205EC" w:rsidRPr="00C00EFD" w:rsidRDefault="00A205EC">
      <w:pPr>
        <w:pStyle w:val="Heading1"/>
        <w:spacing w:before="67"/>
        <w:ind w:left="4272" w:right="787" w:hanging="3243"/>
        <w:rPr>
          <w:rFonts w:ascii="Bookman Old Style" w:hAnsi="Bookman Old Style"/>
        </w:rPr>
      </w:pPr>
    </w:p>
    <w:p w14:paraId="5D19283F" w14:textId="77777777" w:rsidR="00A205EC" w:rsidRPr="00C00EFD" w:rsidRDefault="00A205EC">
      <w:pPr>
        <w:pStyle w:val="Heading1"/>
        <w:spacing w:before="67"/>
        <w:ind w:left="4272" w:right="787" w:hanging="3243"/>
        <w:rPr>
          <w:rFonts w:ascii="Bookman Old Style" w:hAnsi="Bookman Old Style"/>
        </w:rPr>
      </w:pPr>
    </w:p>
    <w:p w14:paraId="2929E89B" w14:textId="77777777" w:rsidR="00A205EC" w:rsidRPr="00C00EFD" w:rsidRDefault="00A205EC" w:rsidP="00B47E72">
      <w:pPr>
        <w:pStyle w:val="Heading1"/>
        <w:spacing w:before="67"/>
        <w:ind w:left="0" w:right="787" w:firstLine="0"/>
        <w:rPr>
          <w:rFonts w:ascii="Bookman Old Style" w:hAnsi="Bookman Old Style"/>
        </w:rPr>
      </w:pPr>
    </w:p>
    <w:p w14:paraId="2B551AFD" w14:textId="77777777" w:rsidR="00DB096D" w:rsidRDefault="00DB096D">
      <w:pPr>
        <w:pStyle w:val="BodyText"/>
        <w:spacing w:before="1"/>
        <w:rPr>
          <w:rFonts w:ascii="Bookman Old Style" w:hAnsi="Bookman Old Style"/>
          <w:b/>
        </w:rPr>
      </w:pPr>
    </w:p>
    <w:p w14:paraId="4F6105BF" w14:textId="77777777" w:rsidR="005A0FCB" w:rsidRPr="00C00EFD" w:rsidRDefault="005A0FCB">
      <w:pPr>
        <w:pStyle w:val="BodyText"/>
        <w:spacing w:before="1"/>
        <w:rPr>
          <w:rFonts w:ascii="Bookman Old Style" w:hAnsi="Bookman Old Style"/>
          <w:b/>
        </w:rPr>
      </w:pPr>
    </w:p>
    <w:p w14:paraId="7AF92470" w14:textId="77777777" w:rsidR="00DB096D" w:rsidRPr="00C00EFD" w:rsidRDefault="00377258">
      <w:pPr>
        <w:pStyle w:val="ListParagraph"/>
        <w:numPr>
          <w:ilvl w:val="0"/>
          <w:numId w:val="4"/>
        </w:numPr>
        <w:tabs>
          <w:tab w:val="left" w:pos="1041"/>
          <w:tab w:val="left" w:pos="1042"/>
        </w:tabs>
        <w:ind w:hanging="702"/>
        <w:jc w:val="left"/>
        <w:rPr>
          <w:rFonts w:ascii="Bookman Old Style" w:hAnsi="Bookman Old Style"/>
          <w:b/>
        </w:rPr>
      </w:pPr>
      <w:r w:rsidRPr="00C00EFD">
        <w:rPr>
          <w:rFonts w:ascii="Bookman Old Style" w:hAnsi="Bookman Old Style"/>
          <w:b/>
        </w:rPr>
        <w:lastRenderedPageBreak/>
        <w:t>INTRODUCTION</w:t>
      </w:r>
    </w:p>
    <w:p w14:paraId="42F7D64C" w14:textId="77777777" w:rsidR="00DB096D" w:rsidRPr="00C00EFD" w:rsidRDefault="00DB096D">
      <w:pPr>
        <w:pStyle w:val="BodyText"/>
        <w:spacing w:before="4"/>
        <w:rPr>
          <w:rFonts w:ascii="Bookman Old Style" w:hAnsi="Bookman Old Style"/>
          <w:b/>
        </w:rPr>
      </w:pPr>
    </w:p>
    <w:p w14:paraId="38E4F3F5" w14:textId="7A0727D0" w:rsidR="00DB096D" w:rsidRPr="00C00EFD" w:rsidRDefault="00377258">
      <w:pPr>
        <w:pStyle w:val="BodyText"/>
        <w:spacing w:before="1"/>
        <w:ind w:left="340" w:right="114"/>
        <w:jc w:val="both"/>
        <w:rPr>
          <w:rFonts w:ascii="Bookman Old Style" w:hAnsi="Bookman Old Style"/>
        </w:rPr>
      </w:pPr>
      <w:r w:rsidRPr="00C00EFD">
        <w:rPr>
          <w:rFonts w:ascii="Bookman Old Style" w:hAnsi="Bookman Old Style"/>
        </w:rPr>
        <w:t xml:space="preserve">This Policy has been formulated to define the materiality for identification of outstanding material litigation and outstanding dues to material creditors in respect of </w:t>
      </w:r>
      <w:r w:rsidR="007D5531" w:rsidRPr="00C00EFD">
        <w:rPr>
          <w:rFonts w:ascii="Bookman Old Style" w:hAnsi="Bookman Old Style"/>
        </w:rPr>
        <w:t xml:space="preserve">M/s </w:t>
      </w:r>
      <w:proofErr w:type="spellStart"/>
      <w:r w:rsidR="00FD29FF" w:rsidRPr="00FD29FF">
        <w:rPr>
          <w:rFonts w:ascii="Bookman Old Style" w:hAnsi="Bookman Old Style"/>
        </w:rPr>
        <w:t>Avax</w:t>
      </w:r>
      <w:proofErr w:type="spellEnd"/>
      <w:r w:rsidR="00FD29FF" w:rsidRPr="00FD29FF">
        <w:rPr>
          <w:rFonts w:ascii="Bookman Old Style" w:hAnsi="Bookman Old Style"/>
        </w:rPr>
        <w:t xml:space="preserve"> Soft Technologies Limited </w:t>
      </w:r>
      <w:r w:rsidRPr="00C00EFD">
        <w:rPr>
          <w:rFonts w:ascii="Bookman Old Style" w:hAnsi="Bookman Old Style"/>
        </w:rPr>
        <w:t>and its Directors (the “</w:t>
      </w:r>
      <w:r w:rsidRPr="00C00EFD">
        <w:rPr>
          <w:rFonts w:ascii="Bookman Old Style" w:hAnsi="Bookman Old Style"/>
          <w:b/>
        </w:rPr>
        <w:t>Company</w:t>
      </w:r>
      <w:r w:rsidRPr="00C00EFD">
        <w:rPr>
          <w:rFonts w:ascii="Bookman Old Style" w:hAnsi="Bookman Old Style"/>
        </w:rPr>
        <w:t>”), pursuant to the disclosure requirements under Schedule VI of Securities and Exchange Board of India (Issue of Capital and Disclosure Requirements) Regulations, 2018, as may be amended from time to time (“</w:t>
      </w:r>
      <w:r w:rsidRPr="00C00EFD">
        <w:rPr>
          <w:rFonts w:ascii="Bookman Old Style" w:hAnsi="Bookman Old Style"/>
          <w:b/>
        </w:rPr>
        <w:t>SEBI ICDR Regulations</w:t>
      </w:r>
      <w:r w:rsidRPr="00C00EFD">
        <w:rPr>
          <w:rFonts w:ascii="Bookman Old Style" w:hAnsi="Bookman Old Style"/>
        </w:rPr>
        <w:t>”).</w:t>
      </w:r>
    </w:p>
    <w:p w14:paraId="426FC962" w14:textId="77777777" w:rsidR="00DB096D" w:rsidRPr="00C00EFD" w:rsidRDefault="00DB096D">
      <w:pPr>
        <w:pStyle w:val="BodyText"/>
        <w:spacing w:before="5"/>
        <w:rPr>
          <w:rFonts w:ascii="Bookman Old Style" w:hAnsi="Bookman Old Style"/>
        </w:rPr>
      </w:pPr>
    </w:p>
    <w:p w14:paraId="558D8419" w14:textId="77777777" w:rsidR="00DB096D" w:rsidRPr="00C00EFD" w:rsidRDefault="00377258">
      <w:pPr>
        <w:pStyle w:val="Heading1"/>
        <w:numPr>
          <w:ilvl w:val="0"/>
          <w:numId w:val="4"/>
        </w:numPr>
        <w:tabs>
          <w:tab w:val="left" w:pos="1041"/>
          <w:tab w:val="left" w:pos="1042"/>
        </w:tabs>
        <w:jc w:val="left"/>
        <w:rPr>
          <w:rFonts w:ascii="Bookman Old Style" w:hAnsi="Bookman Old Style"/>
        </w:rPr>
      </w:pPr>
      <w:bookmarkStart w:id="0" w:name="APPLICABILITY_AND_OBJECTIVE"/>
      <w:bookmarkEnd w:id="0"/>
      <w:r w:rsidRPr="00C00EFD">
        <w:rPr>
          <w:rFonts w:ascii="Bookman Old Style" w:hAnsi="Bookman Old Style"/>
        </w:rPr>
        <w:t>APPLICABILITY AND</w:t>
      </w:r>
      <w:r w:rsidRPr="00C00EFD">
        <w:rPr>
          <w:rFonts w:ascii="Bookman Old Style" w:hAnsi="Bookman Old Style"/>
          <w:spacing w:val="-1"/>
        </w:rPr>
        <w:t xml:space="preserve"> </w:t>
      </w:r>
      <w:r w:rsidRPr="00C00EFD">
        <w:rPr>
          <w:rFonts w:ascii="Bookman Old Style" w:hAnsi="Bookman Old Style"/>
        </w:rPr>
        <w:t>OBJECTIVE</w:t>
      </w:r>
    </w:p>
    <w:p w14:paraId="3111A892" w14:textId="77777777" w:rsidR="00DB096D" w:rsidRPr="00C00EFD" w:rsidRDefault="00DB096D">
      <w:pPr>
        <w:pStyle w:val="BodyText"/>
        <w:spacing w:before="7"/>
        <w:rPr>
          <w:rFonts w:ascii="Bookman Old Style" w:hAnsi="Bookman Old Style"/>
          <w:b/>
        </w:rPr>
      </w:pPr>
    </w:p>
    <w:p w14:paraId="0D7CBBB0" w14:textId="77777777" w:rsidR="00DB096D" w:rsidRPr="00C00EFD" w:rsidRDefault="00377258">
      <w:pPr>
        <w:ind w:left="341" w:right="113"/>
        <w:jc w:val="both"/>
        <w:rPr>
          <w:rFonts w:ascii="Bookman Old Style" w:hAnsi="Bookman Old Style"/>
        </w:rPr>
      </w:pPr>
      <w:r w:rsidRPr="00C00EFD">
        <w:rPr>
          <w:rFonts w:ascii="Bookman Old Style" w:hAnsi="Bookman Old Style"/>
        </w:rPr>
        <w:t>This policy shall be called the ‘</w:t>
      </w:r>
      <w:r w:rsidRPr="00C00EFD">
        <w:rPr>
          <w:rFonts w:ascii="Bookman Old Style" w:hAnsi="Bookman Old Style"/>
          <w:b/>
        </w:rPr>
        <w:t>Policy on Identification of Material Creditors and Material Litigations</w:t>
      </w:r>
      <w:proofErr w:type="gramStart"/>
      <w:r w:rsidRPr="00C00EFD">
        <w:rPr>
          <w:rFonts w:ascii="Bookman Old Style" w:hAnsi="Bookman Old Style"/>
        </w:rPr>
        <w:t>’(</w:t>
      </w:r>
      <w:proofErr w:type="gramEnd"/>
      <w:r w:rsidRPr="00C00EFD">
        <w:rPr>
          <w:rFonts w:ascii="Bookman Old Style" w:hAnsi="Bookman Old Style"/>
        </w:rPr>
        <w:t>“</w:t>
      </w:r>
      <w:r w:rsidRPr="00C00EFD">
        <w:rPr>
          <w:rFonts w:ascii="Bookman Old Style" w:hAnsi="Bookman Old Style"/>
          <w:b/>
        </w:rPr>
        <w:t>Materiality Policy</w:t>
      </w:r>
      <w:r w:rsidRPr="00C00EFD">
        <w:rPr>
          <w:rFonts w:ascii="Bookman Old Style" w:hAnsi="Bookman Old Style"/>
        </w:rPr>
        <w:t>”).</w:t>
      </w:r>
    </w:p>
    <w:p w14:paraId="05390FD4" w14:textId="77777777" w:rsidR="00DB096D" w:rsidRPr="00C00EFD" w:rsidRDefault="00DB096D">
      <w:pPr>
        <w:pStyle w:val="BodyText"/>
        <w:spacing w:before="2"/>
        <w:rPr>
          <w:rFonts w:ascii="Bookman Old Style" w:hAnsi="Bookman Old Style"/>
        </w:rPr>
      </w:pPr>
    </w:p>
    <w:p w14:paraId="7920F707" w14:textId="7DC4639C" w:rsidR="00DB096D" w:rsidRPr="00C00EFD" w:rsidRDefault="00377258">
      <w:pPr>
        <w:pStyle w:val="BodyText"/>
        <w:ind w:left="341" w:right="112"/>
        <w:jc w:val="both"/>
        <w:rPr>
          <w:rFonts w:ascii="Bookman Old Style" w:hAnsi="Bookman Old Style"/>
        </w:rPr>
      </w:pPr>
      <w:r w:rsidRPr="00C00EFD">
        <w:rPr>
          <w:rFonts w:ascii="Bookman Old Style" w:hAnsi="Bookman Old Style"/>
        </w:rPr>
        <w:t>The Board of Directors of the Company (“</w:t>
      </w:r>
      <w:r w:rsidRPr="00C00EFD">
        <w:rPr>
          <w:rFonts w:ascii="Bookman Old Style" w:hAnsi="Bookman Old Style"/>
          <w:b/>
        </w:rPr>
        <w:t>Board</w:t>
      </w:r>
      <w:r w:rsidRPr="00C00EFD">
        <w:rPr>
          <w:rFonts w:ascii="Bookman Old Style" w:hAnsi="Bookman Old Style"/>
        </w:rPr>
        <w:t>”) at their meeting held</w:t>
      </w:r>
      <w:r w:rsidR="00C96A96" w:rsidRPr="00C00EFD">
        <w:rPr>
          <w:rFonts w:ascii="Bookman Old Style" w:hAnsi="Bookman Old Style"/>
        </w:rPr>
        <w:t xml:space="preserve"> </w:t>
      </w:r>
      <w:r w:rsidRPr="00C00EFD">
        <w:rPr>
          <w:rFonts w:ascii="Bookman Old Style" w:hAnsi="Bookman Old Style"/>
        </w:rPr>
        <w:t>on</w:t>
      </w:r>
      <w:r w:rsidR="00C96A96" w:rsidRPr="00C00EFD">
        <w:rPr>
          <w:rFonts w:ascii="Bookman Old Style" w:hAnsi="Bookman Old Style"/>
        </w:rPr>
        <w:t xml:space="preserve"> 2</w:t>
      </w:r>
      <w:r w:rsidR="00FD29FF">
        <w:rPr>
          <w:rFonts w:ascii="Bookman Old Style" w:hAnsi="Bookman Old Style"/>
        </w:rPr>
        <w:t>3</w:t>
      </w:r>
      <w:r w:rsidR="00C96A96" w:rsidRPr="00C00EFD">
        <w:rPr>
          <w:rFonts w:ascii="Bookman Old Style" w:hAnsi="Bookman Old Style"/>
        </w:rPr>
        <w:t>.</w:t>
      </w:r>
      <w:r w:rsidR="00FD29FF">
        <w:rPr>
          <w:rFonts w:ascii="Bookman Old Style" w:hAnsi="Bookman Old Style"/>
        </w:rPr>
        <w:t>12</w:t>
      </w:r>
      <w:r w:rsidR="00C96A96" w:rsidRPr="00C00EFD">
        <w:rPr>
          <w:rFonts w:ascii="Bookman Old Style" w:hAnsi="Bookman Old Style"/>
        </w:rPr>
        <w:t>.2</w:t>
      </w:r>
      <w:r w:rsidR="00FD29FF">
        <w:rPr>
          <w:rFonts w:ascii="Bookman Old Style" w:hAnsi="Bookman Old Style"/>
        </w:rPr>
        <w:t>2</w:t>
      </w:r>
      <w:r w:rsidR="00C96A96" w:rsidRPr="00C00EFD">
        <w:rPr>
          <w:rFonts w:ascii="Bookman Old Style" w:hAnsi="Bookman Old Style"/>
        </w:rPr>
        <w:t xml:space="preserve"> </w:t>
      </w:r>
      <w:r w:rsidRPr="00C00EFD">
        <w:rPr>
          <w:rFonts w:ascii="Bookman Old Style" w:hAnsi="Bookman Old Style"/>
        </w:rPr>
        <w:t>discussed and approved this Materiality Policy. This Materiality Policy shall be effective from the date of approval of this Materiality Policy by the Board.</w:t>
      </w:r>
    </w:p>
    <w:p w14:paraId="00B1BE89" w14:textId="77777777" w:rsidR="00DB096D" w:rsidRPr="00C00EFD" w:rsidRDefault="00DB096D">
      <w:pPr>
        <w:pStyle w:val="BodyText"/>
        <w:spacing w:before="3"/>
        <w:rPr>
          <w:rFonts w:ascii="Bookman Old Style" w:hAnsi="Bookman Old Style"/>
        </w:rPr>
      </w:pPr>
    </w:p>
    <w:p w14:paraId="3DE72BF7" w14:textId="77777777" w:rsidR="00DB096D" w:rsidRPr="00C00EFD" w:rsidRDefault="00377258">
      <w:pPr>
        <w:pStyle w:val="BodyText"/>
        <w:ind w:left="340" w:right="112"/>
        <w:jc w:val="both"/>
        <w:rPr>
          <w:rFonts w:ascii="Bookman Old Style" w:hAnsi="Bookman Old Style"/>
        </w:rPr>
      </w:pPr>
      <w:r w:rsidRPr="00C00EFD">
        <w:rPr>
          <w:rFonts w:ascii="Bookman Old Style" w:hAnsi="Bookman Old Style"/>
        </w:rPr>
        <w:t>The Company has adopted this Materiality Policy for identification and determination of: (</w:t>
      </w:r>
      <w:proofErr w:type="spellStart"/>
      <w:r w:rsidRPr="00C00EFD">
        <w:rPr>
          <w:rFonts w:ascii="Bookman Old Style" w:hAnsi="Bookman Old Style"/>
        </w:rPr>
        <w:t>i</w:t>
      </w:r>
      <w:proofErr w:type="spellEnd"/>
      <w:r w:rsidRPr="00C00EFD">
        <w:rPr>
          <w:rFonts w:ascii="Bookman Old Style" w:hAnsi="Bookman Old Style"/>
        </w:rPr>
        <w:t>) material creditors; and (ii) material litigations pursuant to the provisions of SEBI ICDR Regulations, details of which shall be disclosed in the offer documents.</w:t>
      </w:r>
    </w:p>
    <w:p w14:paraId="688E8449" w14:textId="77777777" w:rsidR="00DB096D" w:rsidRPr="00C00EFD" w:rsidRDefault="00DB096D">
      <w:pPr>
        <w:pStyle w:val="BodyText"/>
        <w:spacing w:before="1"/>
        <w:rPr>
          <w:rFonts w:ascii="Bookman Old Style" w:hAnsi="Bookman Old Style"/>
        </w:rPr>
      </w:pPr>
    </w:p>
    <w:p w14:paraId="3E75DCDB" w14:textId="7EBF53D4" w:rsidR="00DB096D" w:rsidRPr="00C00EFD" w:rsidRDefault="00377258" w:rsidP="005A0FCB">
      <w:pPr>
        <w:pStyle w:val="BodyText"/>
        <w:ind w:left="340" w:right="113"/>
        <w:jc w:val="both"/>
        <w:rPr>
          <w:rFonts w:ascii="Bookman Old Style" w:hAnsi="Bookman Old Style"/>
        </w:rPr>
      </w:pPr>
      <w:r w:rsidRPr="00C00EFD">
        <w:rPr>
          <w:rFonts w:ascii="Bookman Old Style" w:hAnsi="Bookman Old Style"/>
        </w:rPr>
        <w:t>In this Materiality Policy, the term “</w:t>
      </w:r>
      <w:r w:rsidRPr="00C00EFD">
        <w:rPr>
          <w:rFonts w:ascii="Bookman Old Style" w:hAnsi="Bookman Old Style"/>
          <w:b/>
        </w:rPr>
        <w:t>Offer Documents</w:t>
      </w:r>
      <w:r w:rsidRPr="00C00EFD">
        <w:rPr>
          <w:rFonts w:ascii="Bookman Old Style" w:hAnsi="Bookman Old Style"/>
        </w:rPr>
        <w:t>” shall mean the draft red herring prospectus, the red herring prospectus and the prospectus to be filed by the Company in connection with the proposed initial public offering of its equity shares with the Securities and Exchange Board of India, Registrar of Companies, National Capital Territory of Delhi and Haryana (“</w:t>
      </w:r>
      <w:r w:rsidRPr="00C00EFD">
        <w:rPr>
          <w:rFonts w:ascii="Bookman Old Style" w:hAnsi="Bookman Old Style"/>
          <w:b/>
        </w:rPr>
        <w:t>R</w:t>
      </w:r>
      <w:r w:rsidR="00F30DEC" w:rsidRPr="00C00EFD">
        <w:rPr>
          <w:rFonts w:ascii="Bookman Old Style" w:hAnsi="Bookman Old Style"/>
          <w:b/>
        </w:rPr>
        <w:t>O</w:t>
      </w:r>
      <w:r w:rsidRPr="00C00EFD">
        <w:rPr>
          <w:rFonts w:ascii="Bookman Old Style" w:hAnsi="Bookman Old Style"/>
          <w:b/>
        </w:rPr>
        <w:t>C</w:t>
      </w:r>
      <w:r w:rsidRPr="00C00EFD">
        <w:rPr>
          <w:rFonts w:ascii="Bookman Old Style" w:hAnsi="Bookman Old Style"/>
        </w:rPr>
        <w:t>”) and stock exchanges where the equity shares of the Company are proposed to be listed, as applicable.</w:t>
      </w:r>
    </w:p>
    <w:p w14:paraId="4AA68C75" w14:textId="77777777" w:rsidR="00DB096D" w:rsidRPr="00C00EFD" w:rsidRDefault="00DB096D">
      <w:pPr>
        <w:pStyle w:val="BodyText"/>
        <w:spacing w:before="3"/>
        <w:rPr>
          <w:rFonts w:ascii="Bookman Old Style" w:hAnsi="Bookman Old Style"/>
        </w:rPr>
      </w:pPr>
    </w:p>
    <w:p w14:paraId="7267489B" w14:textId="77777777" w:rsidR="00DB096D" w:rsidRPr="00C00EFD" w:rsidRDefault="00377258">
      <w:pPr>
        <w:pStyle w:val="BodyText"/>
        <w:ind w:left="341" w:right="115"/>
        <w:jc w:val="both"/>
        <w:rPr>
          <w:rFonts w:ascii="Bookman Old Style" w:hAnsi="Bookman Old Style"/>
        </w:rPr>
      </w:pPr>
      <w:r w:rsidRPr="00C00EFD">
        <w:rPr>
          <w:rFonts w:ascii="Bookman Old Style" w:hAnsi="Bookman Old Style"/>
        </w:rPr>
        <w:t xml:space="preserve">All other </w:t>
      </w:r>
      <w:proofErr w:type="spellStart"/>
      <w:r w:rsidRPr="00C00EFD">
        <w:rPr>
          <w:rFonts w:ascii="Bookman Old Style" w:hAnsi="Bookman Old Style"/>
        </w:rPr>
        <w:t>capitalised</w:t>
      </w:r>
      <w:proofErr w:type="spellEnd"/>
      <w:r w:rsidRPr="00C00EFD">
        <w:rPr>
          <w:rFonts w:ascii="Bookman Old Style" w:hAnsi="Bookman Old Style"/>
        </w:rPr>
        <w:t xml:space="preserve"> terms not specifically defined in this Materiality Policy shall have the same meanings ascribed to such terms in the Offer</w:t>
      </w:r>
      <w:r w:rsidRPr="00C00EFD">
        <w:rPr>
          <w:rFonts w:ascii="Bookman Old Style" w:hAnsi="Bookman Old Style"/>
          <w:spacing w:val="-9"/>
        </w:rPr>
        <w:t xml:space="preserve"> </w:t>
      </w:r>
      <w:r w:rsidRPr="00C00EFD">
        <w:rPr>
          <w:rFonts w:ascii="Bookman Old Style" w:hAnsi="Bookman Old Style"/>
        </w:rPr>
        <w:t>Documents.</w:t>
      </w:r>
    </w:p>
    <w:p w14:paraId="7F5955EB" w14:textId="77777777" w:rsidR="00DB096D" w:rsidRPr="00C00EFD" w:rsidRDefault="00DB096D">
      <w:pPr>
        <w:pStyle w:val="BodyText"/>
        <w:spacing w:before="3"/>
        <w:rPr>
          <w:rFonts w:ascii="Bookman Old Style" w:hAnsi="Bookman Old Style"/>
        </w:rPr>
      </w:pPr>
    </w:p>
    <w:p w14:paraId="21422311" w14:textId="77777777" w:rsidR="00DB096D" w:rsidRPr="00C00EFD" w:rsidRDefault="00377258">
      <w:pPr>
        <w:pStyle w:val="BodyText"/>
        <w:ind w:left="341"/>
        <w:jc w:val="both"/>
        <w:rPr>
          <w:rFonts w:ascii="Bookman Old Style" w:hAnsi="Bookman Old Style"/>
        </w:rPr>
      </w:pPr>
      <w:r w:rsidRPr="00C00EFD">
        <w:rPr>
          <w:rFonts w:ascii="Bookman Old Style" w:hAnsi="Bookman Old Style"/>
        </w:rPr>
        <w:t>In this Materiality Policy, unless the context otherwise requires:</w:t>
      </w:r>
    </w:p>
    <w:p w14:paraId="0147FF0C" w14:textId="77777777" w:rsidR="00DB096D" w:rsidRPr="00C00EFD" w:rsidRDefault="00DB096D">
      <w:pPr>
        <w:pStyle w:val="BodyText"/>
        <w:spacing w:before="5"/>
        <w:rPr>
          <w:rFonts w:ascii="Bookman Old Style" w:hAnsi="Bookman Old Style"/>
        </w:rPr>
      </w:pPr>
    </w:p>
    <w:p w14:paraId="421027DB" w14:textId="77777777" w:rsidR="00DB096D" w:rsidRPr="00C00EFD" w:rsidRDefault="00377258">
      <w:pPr>
        <w:pStyle w:val="ListParagraph"/>
        <w:numPr>
          <w:ilvl w:val="0"/>
          <w:numId w:val="3"/>
        </w:numPr>
        <w:tabs>
          <w:tab w:val="left" w:pos="791"/>
          <w:tab w:val="left" w:pos="792"/>
        </w:tabs>
        <w:spacing w:before="1"/>
        <w:rPr>
          <w:rFonts w:ascii="Bookman Old Style" w:hAnsi="Bookman Old Style"/>
        </w:rPr>
      </w:pPr>
      <w:r w:rsidRPr="00C00EFD">
        <w:rPr>
          <w:rFonts w:ascii="Bookman Old Style" w:hAnsi="Bookman Old Style"/>
        </w:rPr>
        <w:t>Words denoting the singular shall include the plural and vice</w:t>
      </w:r>
      <w:r w:rsidRPr="00C00EFD">
        <w:rPr>
          <w:rFonts w:ascii="Bookman Old Style" w:hAnsi="Bookman Old Style"/>
          <w:spacing w:val="-6"/>
        </w:rPr>
        <w:t xml:space="preserve"> </w:t>
      </w:r>
      <w:r w:rsidRPr="00C00EFD">
        <w:rPr>
          <w:rFonts w:ascii="Bookman Old Style" w:hAnsi="Bookman Old Style"/>
        </w:rPr>
        <w:t>versa;</w:t>
      </w:r>
    </w:p>
    <w:p w14:paraId="00D5D4C1" w14:textId="77777777" w:rsidR="00DB096D" w:rsidRPr="00C00EFD" w:rsidRDefault="00DB096D">
      <w:pPr>
        <w:pStyle w:val="BodyText"/>
        <w:spacing w:before="9"/>
        <w:rPr>
          <w:rFonts w:ascii="Bookman Old Style" w:hAnsi="Bookman Old Style"/>
        </w:rPr>
      </w:pPr>
    </w:p>
    <w:p w14:paraId="264FA70A" w14:textId="77777777" w:rsidR="00DB096D" w:rsidRPr="00C00EFD" w:rsidRDefault="00377258">
      <w:pPr>
        <w:pStyle w:val="ListParagraph"/>
        <w:numPr>
          <w:ilvl w:val="0"/>
          <w:numId w:val="3"/>
        </w:numPr>
        <w:tabs>
          <w:tab w:val="left" w:pos="792"/>
        </w:tabs>
        <w:spacing w:before="1"/>
        <w:rPr>
          <w:rFonts w:ascii="Bookman Old Style" w:hAnsi="Bookman Old Style"/>
        </w:rPr>
      </w:pPr>
      <w:r w:rsidRPr="00C00EFD">
        <w:rPr>
          <w:rFonts w:ascii="Bookman Old Style" w:hAnsi="Bookman Old Style"/>
        </w:rPr>
        <w:t>References to the words “include” or “including” shall be construed without</w:t>
      </w:r>
      <w:r w:rsidRPr="00C00EFD">
        <w:rPr>
          <w:rFonts w:ascii="Bookman Old Style" w:hAnsi="Bookman Old Style"/>
          <w:spacing w:val="-10"/>
        </w:rPr>
        <w:t xml:space="preserve"> </w:t>
      </w:r>
      <w:r w:rsidRPr="00C00EFD">
        <w:rPr>
          <w:rFonts w:ascii="Bookman Old Style" w:hAnsi="Bookman Old Style"/>
        </w:rPr>
        <w:t>limitation.</w:t>
      </w:r>
    </w:p>
    <w:p w14:paraId="58C7E394" w14:textId="77777777" w:rsidR="00DB096D" w:rsidRPr="00C00EFD" w:rsidRDefault="00DB096D">
      <w:pPr>
        <w:pStyle w:val="BodyText"/>
        <w:spacing w:before="7"/>
        <w:rPr>
          <w:rFonts w:ascii="Bookman Old Style" w:hAnsi="Bookman Old Style"/>
        </w:rPr>
      </w:pPr>
    </w:p>
    <w:p w14:paraId="07728BE8" w14:textId="77777777" w:rsidR="00DB096D" w:rsidRPr="00C00EFD" w:rsidRDefault="00377258">
      <w:pPr>
        <w:pStyle w:val="Heading1"/>
        <w:numPr>
          <w:ilvl w:val="0"/>
          <w:numId w:val="4"/>
        </w:numPr>
        <w:tabs>
          <w:tab w:val="left" w:pos="1040"/>
          <w:tab w:val="left" w:pos="1042"/>
        </w:tabs>
        <w:ind w:right="118"/>
        <w:jc w:val="left"/>
        <w:rPr>
          <w:rFonts w:ascii="Bookman Old Style" w:hAnsi="Bookman Old Style"/>
        </w:rPr>
      </w:pPr>
      <w:bookmarkStart w:id="1" w:name="POLICY_PERTAINING_TO_THE_IDENTIFICATION_"/>
      <w:bookmarkEnd w:id="1"/>
      <w:r w:rsidRPr="00C00EFD">
        <w:rPr>
          <w:rFonts w:ascii="Bookman Old Style" w:hAnsi="Bookman Old Style"/>
        </w:rPr>
        <w:t xml:space="preserve">POLICY PERTAINING TO THE IDENTIFICATION OF MATERIAL CREDITORS </w:t>
      </w:r>
      <w:r w:rsidRPr="00C00EFD">
        <w:rPr>
          <w:rFonts w:ascii="Bookman Old Style" w:hAnsi="Bookman Old Style"/>
          <w:spacing w:val="-3"/>
        </w:rPr>
        <w:t>AND</w:t>
      </w:r>
      <w:r w:rsidRPr="00C00EFD">
        <w:rPr>
          <w:rFonts w:ascii="Bookman Old Style" w:hAnsi="Bookman Old Style"/>
          <w:spacing w:val="-7"/>
        </w:rPr>
        <w:t xml:space="preserve"> </w:t>
      </w:r>
      <w:r w:rsidRPr="00C00EFD">
        <w:rPr>
          <w:rFonts w:ascii="Bookman Old Style" w:hAnsi="Bookman Old Style"/>
        </w:rPr>
        <w:t>MATERIAL</w:t>
      </w:r>
      <w:r w:rsidR="009B6F4E" w:rsidRPr="00C00EFD">
        <w:rPr>
          <w:rFonts w:ascii="Bookman Old Style" w:hAnsi="Bookman Old Style"/>
        </w:rPr>
        <w:t xml:space="preserve"> </w:t>
      </w:r>
      <w:r w:rsidRPr="00C00EFD">
        <w:rPr>
          <w:rFonts w:ascii="Bookman Old Style" w:hAnsi="Bookman Old Style"/>
        </w:rPr>
        <w:t>LITIGATIONS</w:t>
      </w:r>
    </w:p>
    <w:p w14:paraId="506E0B10" w14:textId="77777777" w:rsidR="00DB096D" w:rsidRPr="00C00EFD" w:rsidRDefault="00DB096D">
      <w:pPr>
        <w:pStyle w:val="BodyText"/>
        <w:spacing w:before="2"/>
        <w:rPr>
          <w:rFonts w:ascii="Bookman Old Style" w:hAnsi="Bookman Old Style"/>
          <w:b/>
        </w:rPr>
      </w:pPr>
    </w:p>
    <w:p w14:paraId="28AB3F1A" w14:textId="77777777" w:rsidR="00DB096D" w:rsidRPr="00C00EFD" w:rsidRDefault="00377258">
      <w:pPr>
        <w:pStyle w:val="BodyText"/>
        <w:ind w:left="340" w:right="112" w:hanging="1"/>
        <w:jc w:val="both"/>
        <w:rPr>
          <w:rFonts w:ascii="Bookman Old Style" w:hAnsi="Bookman Old Style"/>
        </w:rPr>
      </w:pPr>
      <w:r w:rsidRPr="00C00EFD">
        <w:rPr>
          <w:rFonts w:ascii="Bookman Old Style" w:hAnsi="Bookman Old Style"/>
        </w:rPr>
        <w:t>The Materiality Policy with respect to the identification of the material creditors and material litigation shall be as follows:</w:t>
      </w:r>
    </w:p>
    <w:p w14:paraId="4CA09D90" w14:textId="77777777" w:rsidR="00DB096D" w:rsidRPr="00C00EFD" w:rsidRDefault="00DB096D">
      <w:pPr>
        <w:pStyle w:val="BodyText"/>
        <w:spacing w:before="9"/>
        <w:rPr>
          <w:rFonts w:ascii="Bookman Old Style" w:hAnsi="Bookman Old Style"/>
        </w:rPr>
      </w:pPr>
    </w:p>
    <w:p w14:paraId="48C98457" w14:textId="77777777" w:rsidR="00DB096D" w:rsidRPr="00C00EFD" w:rsidRDefault="00377258">
      <w:pPr>
        <w:pStyle w:val="Heading1"/>
        <w:ind w:left="340" w:firstLine="0"/>
        <w:jc w:val="both"/>
        <w:rPr>
          <w:rFonts w:ascii="Bookman Old Style" w:hAnsi="Bookman Old Style"/>
        </w:rPr>
      </w:pPr>
      <w:bookmarkStart w:id="2" w:name="Identification_of_Material_Creditors"/>
      <w:bookmarkEnd w:id="2"/>
      <w:r w:rsidRPr="00C00EFD">
        <w:rPr>
          <w:rFonts w:ascii="Bookman Old Style" w:hAnsi="Bookman Old Style"/>
          <w:u w:val="thick"/>
        </w:rPr>
        <w:t>Identification of Material Creditors</w:t>
      </w:r>
    </w:p>
    <w:p w14:paraId="75E6CE13" w14:textId="77777777" w:rsidR="00DB096D" w:rsidRPr="00C00EFD" w:rsidRDefault="00DB096D">
      <w:pPr>
        <w:pStyle w:val="BodyText"/>
        <w:spacing w:before="6"/>
        <w:rPr>
          <w:rFonts w:ascii="Bookman Old Style" w:hAnsi="Bookman Old Style"/>
          <w:b/>
        </w:rPr>
      </w:pPr>
    </w:p>
    <w:p w14:paraId="327CB241" w14:textId="77777777" w:rsidR="00DB096D" w:rsidRPr="00C00EFD" w:rsidRDefault="00377258">
      <w:pPr>
        <w:spacing w:before="92"/>
        <w:ind w:left="340"/>
        <w:rPr>
          <w:rFonts w:ascii="Bookman Old Style" w:hAnsi="Bookman Old Style"/>
          <w:i/>
        </w:rPr>
      </w:pPr>
      <w:r w:rsidRPr="00C00EFD">
        <w:rPr>
          <w:rFonts w:ascii="Bookman Old Style" w:hAnsi="Bookman Old Style"/>
          <w:i/>
        </w:rPr>
        <w:t>Requirement:</w:t>
      </w:r>
    </w:p>
    <w:p w14:paraId="74CF2B1F" w14:textId="77777777" w:rsidR="00DB096D" w:rsidRPr="00C00EFD" w:rsidRDefault="00DB096D">
      <w:pPr>
        <w:pStyle w:val="BodyText"/>
        <w:spacing w:before="9"/>
        <w:rPr>
          <w:rFonts w:ascii="Bookman Old Style" w:hAnsi="Bookman Old Style"/>
          <w:i/>
        </w:rPr>
      </w:pPr>
    </w:p>
    <w:p w14:paraId="4AB6375A" w14:textId="77777777" w:rsidR="00DB096D" w:rsidRPr="00C00EFD" w:rsidRDefault="00377258">
      <w:pPr>
        <w:pStyle w:val="BodyText"/>
        <w:ind w:left="340"/>
        <w:rPr>
          <w:rFonts w:ascii="Bookman Old Style" w:hAnsi="Bookman Old Style"/>
        </w:rPr>
      </w:pPr>
      <w:r w:rsidRPr="00C00EFD">
        <w:rPr>
          <w:rFonts w:ascii="Bookman Old Style" w:hAnsi="Bookman Old Style"/>
        </w:rPr>
        <w:t>As per the requirements of SEBI ICDR Regulations, the Company shall make relevant disclosures in the Offer Documents for outstanding dues to creditors:</w:t>
      </w:r>
    </w:p>
    <w:p w14:paraId="4B765189" w14:textId="77777777" w:rsidR="00C5706D" w:rsidRPr="00C00EFD" w:rsidRDefault="00C5706D">
      <w:pPr>
        <w:rPr>
          <w:rFonts w:ascii="Bookman Old Style" w:hAnsi="Bookman Old Style"/>
        </w:rPr>
      </w:pPr>
    </w:p>
    <w:p w14:paraId="1522C672" w14:textId="77777777" w:rsidR="00DB096D" w:rsidRPr="00C00EFD" w:rsidRDefault="00377258">
      <w:pPr>
        <w:pStyle w:val="ListParagraph"/>
        <w:numPr>
          <w:ilvl w:val="1"/>
          <w:numId w:val="4"/>
        </w:numPr>
        <w:tabs>
          <w:tab w:val="left" w:pos="1297"/>
        </w:tabs>
        <w:spacing w:before="73"/>
        <w:ind w:right="113" w:hanging="720"/>
        <w:jc w:val="both"/>
        <w:rPr>
          <w:rFonts w:ascii="Bookman Old Style" w:hAnsi="Bookman Old Style"/>
        </w:rPr>
      </w:pPr>
      <w:r w:rsidRPr="00C00EFD">
        <w:rPr>
          <w:rFonts w:ascii="Bookman Old Style" w:hAnsi="Bookman Old Style"/>
        </w:rPr>
        <w:lastRenderedPageBreak/>
        <w:t>Based on the policy on materiality defined by the Board of Directors of the Company and as disclosed in the Offer Document, disclosure for such creditors which include the consolidated number of creditors and the aggregate amount</w:t>
      </w:r>
      <w:r w:rsidRPr="00C00EFD">
        <w:rPr>
          <w:rFonts w:ascii="Bookman Old Style" w:hAnsi="Bookman Old Style"/>
          <w:spacing w:val="-1"/>
        </w:rPr>
        <w:t xml:space="preserve"> </w:t>
      </w:r>
      <w:r w:rsidRPr="00C00EFD">
        <w:rPr>
          <w:rFonts w:ascii="Bookman Old Style" w:hAnsi="Bookman Old Style"/>
        </w:rPr>
        <w:t>involved;</w:t>
      </w:r>
    </w:p>
    <w:p w14:paraId="7223B670" w14:textId="77777777" w:rsidR="00DB096D" w:rsidRPr="00C00EFD" w:rsidRDefault="00DB096D">
      <w:pPr>
        <w:pStyle w:val="BodyText"/>
        <w:rPr>
          <w:rFonts w:ascii="Bookman Old Style" w:hAnsi="Bookman Old Style"/>
        </w:rPr>
      </w:pPr>
    </w:p>
    <w:p w14:paraId="5F1ADB46" w14:textId="77777777" w:rsidR="00DB096D" w:rsidRPr="00C00EFD" w:rsidRDefault="00377258">
      <w:pPr>
        <w:pStyle w:val="ListParagraph"/>
        <w:numPr>
          <w:ilvl w:val="1"/>
          <w:numId w:val="4"/>
        </w:numPr>
        <w:tabs>
          <w:tab w:val="left" w:pos="1296"/>
        </w:tabs>
        <w:ind w:right="113" w:hanging="720"/>
        <w:jc w:val="both"/>
        <w:rPr>
          <w:rFonts w:ascii="Bookman Old Style" w:hAnsi="Bookman Old Style"/>
        </w:rPr>
      </w:pPr>
      <w:r w:rsidRPr="00C00EFD">
        <w:rPr>
          <w:rFonts w:ascii="Bookman Old Style" w:hAnsi="Bookman Old Style"/>
        </w:rPr>
        <w:t>Consolidated information on outstanding dues to micro, small and medium enterprises and other creditors, separately giving details of number of cases and amount involved;</w:t>
      </w:r>
      <w:r w:rsidRPr="00C00EFD">
        <w:rPr>
          <w:rFonts w:ascii="Bookman Old Style" w:hAnsi="Bookman Old Style"/>
          <w:spacing w:val="-16"/>
        </w:rPr>
        <w:t xml:space="preserve"> </w:t>
      </w:r>
      <w:r w:rsidRPr="00C00EFD">
        <w:rPr>
          <w:rFonts w:ascii="Bookman Old Style" w:hAnsi="Bookman Old Style"/>
        </w:rPr>
        <w:t>and</w:t>
      </w:r>
    </w:p>
    <w:p w14:paraId="245AFE8C" w14:textId="77777777" w:rsidR="00DB096D" w:rsidRPr="00C00EFD" w:rsidRDefault="00DB096D">
      <w:pPr>
        <w:pStyle w:val="BodyText"/>
        <w:spacing w:before="11"/>
        <w:rPr>
          <w:rFonts w:ascii="Bookman Old Style" w:hAnsi="Bookman Old Style"/>
        </w:rPr>
      </w:pPr>
    </w:p>
    <w:p w14:paraId="51E40CD6" w14:textId="77777777" w:rsidR="00DB096D" w:rsidRPr="00C00EFD" w:rsidRDefault="00377258">
      <w:pPr>
        <w:pStyle w:val="ListParagraph"/>
        <w:numPr>
          <w:ilvl w:val="1"/>
          <w:numId w:val="4"/>
        </w:numPr>
        <w:tabs>
          <w:tab w:val="left" w:pos="1296"/>
        </w:tabs>
        <w:ind w:right="115"/>
        <w:jc w:val="both"/>
        <w:rPr>
          <w:rFonts w:ascii="Bookman Old Style" w:hAnsi="Bookman Old Style"/>
        </w:rPr>
      </w:pPr>
      <w:r w:rsidRPr="00C00EFD">
        <w:rPr>
          <w:rFonts w:ascii="Bookman Old Style" w:hAnsi="Bookman Old Style"/>
        </w:rPr>
        <w:t>Complete details about outstanding over dues to material creditors along with the name and amount involved for each such material creditor shall be disclosed on the website of the Company with a web link thereto in the Offer</w:t>
      </w:r>
      <w:r w:rsidRPr="00C00EFD">
        <w:rPr>
          <w:rFonts w:ascii="Bookman Old Style" w:hAnsi="Bookman Old Style"/>
          <w:spacing w:val="-9"/>
        </w:rPr>
        <w:t xml:space="preserve"> </w:t>
      </w:r>
      <w:r w:rsidRPr="00C00EFD">
        <w:rPr>
          <w:rFonts w:ascii="Bookman Old Style" w:hAnsi="Bookman Old Style"/>
        </w:rPr>
        <w:t>Documents.</w:t>
      </w:r>
    </w:p>
    <w:p w14:paraId="34CD4EA0" w14:textId="77777777" w:rsidR="00DB096D" w:rsidRPr="00C00EFD" w:rsidRDefault="00DB096D">
      <w:pPr>
        <w:pStyle w:val="BodyText"/>
        <w:spacing w:before="10"/>
        <w:rPr>
          <w:rFonts w:ascii="Bookman Old Style" w:hAnsi="Bookman Old Style"/>
        </w:rPr>
      </w:pPr>
    </w:p>
    <w:p w14:paraId="434E24A5" w14:textId="77777777" w:rsidR="00DB096D" w:rsidRPr="00C00EFD" w:rsidRDefault="00377258">
      <w:pPr>
        <w:ind w:left="340"/>
        <w:jc w:val="both"/>
        <w:rPr>
          <w:rFonts w:ascii="Bookman Old Style" w:hAnsi="Bookman Old Style"/>
          <w:i/>
        </w:rPr>
      </w:pPr>
      <w:r w:rsidRPr="00C00EFD">
        <w:rPr>
          <w:rFonts w:ascii="Bookman Old Style" w:hAnsi="Bookman Old Style"/>
          <w:i/>
        </w:rPr>
        <w:t>Policy on materiality:</w:t>
      </w:r>
    </w:p>
    <w:p w14:paraId="27E0A396" w14:textId="77777777" w:rsidR="00DB096D" w:rsidRPr="00C00EFD" w:rsidRDefault="00DB096D">
      <w:pPr>
        <w:pStyle w:val="BodyText"/>
        <w:rPr>
          <w:rFonts w:ascii="Bookman Old Style" w:hAnsi="Bookman Old Style"/>
          <w:i/>
        </w:rPr>
      </w:pPr>
    </w:p>
    <w:p w14:paraId="6FF07C91" w14:textId="37C8E723" w:rsidR="00DB096D" w:rsidRPr="00C00EFD" w:rsidRDefault="00377258">
      <w:pPr>
        <w:pStyle w:val="BodyText"/>
        <w:ind w:left="340" w:right="113" w:hanging="1"/>
        <w:jc w:val="both"/>
        <w:rPr>
          <w:rFonts w:ascii="Bookman Old Style" w:hAnsi="Bookman Old Style"/>
        </w:rPr>
      </w:pPr>
      <w:r w:rsidRPr="00C00EFD">
        <w:rPr>
          <w:rFonts w:ascii="Bookman Old Style" w:hAnsi="Bookman Old Style"/>
        </w:rPr>
        <w:t>For identification of material creditors, in terms of point (</w:t>
      </w:r>
      <w:proofErr w:type="spellStart"/>
      <w:r w:rsidRPr="00C00EFD">
        <w:rPr>
          <w:rFonts w:ascii="Bookman Old Style" w:hAnsi="Bookman Old Style"/>
        </w:rPr>
        <w:t>i</w:t>
      </w:r>
      <w:proofErr w:type="spellEnd"/>
      <w:r w:rsidRPr="00C00EFD">
        <w:rPr>
          <w:rFonts w:ascii="Bookman Old Style" w:hAnsi="Bookman Old Style"/>
        </w:rPr>
        <w:t>) above, a creditor of the Company shall be considered to be material for the purpose of disclosure in the Offer Documents, if amounts due to such creditor exceed</w:t>
      </w:r>
      <w:r w:rsidR="009F7264" w:rsidRPr="00C00EFD">
        <w:rPr>
          <w:rFonts w:ascii="Bookman Old Style" w:hAnsi="Bookman Old Style"/>
        </w:rPr>
        <w:t xml:space="preserve"> </w:t>
      </w:r>
      <w:r w:rsidR="00A43F58" w:rsidRPr="00C00EFD">
        <w:rPr>
          <w:rFonts w:ascii="Bookman Old Style" w:hAnsi="Bookman Old Style"/>
        </w:rPr>
        <w:t>10</w:t>
      </w:r>
      <w:r w:rsidRPr="00C00EFD">
        <w:rPr>
          <w:rFonts w:ascii="Bookman Old Style" w:hAnsi="Bookman Old Style"/>
        </w:rPr>
        <w:t>% of the total consolidated trade payables of the Company as per the latest</w:t>
      </w:r>
      <w:r w:rsidR="00F52C37" w:rsidRPr="00C00EFD">
        <w:rPr>
          <w:rFonts w:ascii="Bookman Old Style" w:hAnsi="Bookman Old Style"/>
        </w:rPr>
        <w:t xml:space="preserve"> audited </w:t>
      </w:r>
      <w:r w:rsidRPr="00C00EFD">
        <w:rPr>
          <w:rFonts w:ascii="Bookman Old Style" w:hAnsi="Bookman Old Style"/>
        </w:rPr>
        <w:t>financial statements of the Company, as disclosed in the Offer Documents.</w:t>
      </w:r>
    </w:p>
    <w:p w14:paraId="77E7C706" w14:textId="77777777" w:rsidR="00DB096D" w:rsidRPr="00C00EFD" w:rsidRDefault="00DB096D">
      <w:pPr>
        <w:pStyle w:val="BodyText"/>
        <w:rPr>
          <w:rFonts w:ascii="Bookman Old Style" w:hAnsi="Bookman Old Style"/>
        </w:rPr>
      </w:pPr>
    </w:p>
    <w:p w14:paraId="11CB373B" w14:textId="77777777" w:rsidR="00DB096D" w:rsidRPr="00C00EFD" w:rsidRDefault="00377258">
      <w:pPr>
        <w:ind w:left="340"/>
        <w:jc w:val="both"/>
        <w:rPr>
          <w:rFonts w:ascii="Bookman Old Style" w:hAnsi="Bookman Old Style"/>
          <w:i/>
        </w:rPr>
      </w:pPr>
      <w:r w:rsidRPr="00C00EFD">
        <w:rPr>
          <w:rFonts w:ascii="Bookman Old Style" w:hAnsi="Bookman Old Style"/>
          <w:i/>
        </w:rPr>
        <w:t>Disclosures in the Offer Documents regarding material creditors</w:t>
      </w:r>
    </w:p>
    <w:p w14:paraId="3C128443" w14:textId="77777777" w:rsidR="00DB096D" w:rsidRPr="00C00EFD" w:rsidRDefault="00DB096D">
      <w:pPr>
        <w:pStyle w:val="BodyText"/>
        <w:spacing w:before="1"/>
        <w:rPr>
          <w:rFonts w:ascii="Bookman Old Style" w:hAnsi="Bookman Old Style"/>
          <w:i/>
        </w:rPr>
      </w:pPr>
    </w:p>
    <w:p w14:paraId="2D68D02A" w14:textId="40BF2D78" w:rsidR="00DB096D" w:rsidRPr="00C00EFD" w:rsidRDefault="00377258">
      <w:pPr>
        <w:pStyle w:val="ListParagraph"/>
        <w:numPr>
          <w:ilvl w:val="2"/>
          <w:numId w:val="4"/>
        </w:numPr>
        <w:tabs>
          <w:tab w:val="left" w:pos="1420"/>
          <w:tab w:val="left" w:pos="1421"/>
        </w:tabs>
        <w:ind w:right="114"/>
        <w:jc w:val="both"/>
        <w:rPr>
          <w:rFonts w:ascii="Bookman Old Style" w:hAnsi="Bookman Old Style"/>
        </w:rPr>
      </w:pPr>
      <w:r w:rsidRPr="00C00EFD">
        <w:rPr>
          <w:rFonts w:ascii="Bookman Old Style" w:hAnsi="Bookman Old Style"/>
        </w:rPr>
        <w:t xml:space="preserve">For creditors identified as ‘material’ based on the abovementioned Policy, information </w:t>
      </w:r>
      <w:r w:rsidRPr="00C00EFD">
        <w:rPr>
          <w:rFonts w:ascii="Bookman Old Style" w:hAnsi="Bookman Old Style"/>
          <w:spacing w:val="-3"/>
        </w:rPr>
        <w:t xml:space="preserve">on </w:t>
      </w:r>
      <w:r w:rsidRPr="00C00EFD">
        <w:rPr>
          <w:rFonts w:ascii="Bookman Old Style" w:hAnsi="Bookman Old Style"/>
        </w:rPr>
        <w:t xml:space="preserve">outstanding dues to such material creditors shall be disclosed in the Offer Documents along with the details of the material creditors, which include the consolidated number of creditors and amount involved on an aggregate basis, as of the date of the latest </w:t>
      </w:r>
      <w:r w:rsidR="00492277" w:rsidRPr="00C00EFD">
        <w:rPr>
          <w:rFonts w:ascii="Bookman Old Style" w:hAnsi="Bookman Old Style"/>
        </w:rPr>
        <w:t>audited</w:t>
      </w:r>
      <w:r w:rsidRPr="00C00EFD">
        <w:rPr>
          <w:rFonts w:ascii="Bookman Old Style" w:hAnsi="Bookman Old Style"/>
        </w:rPr>
        <w:t xml:space="preserve"> financial statements included in the Offer</w:t>
      </w:r>
      <w:r w:rsidRPr="00C00EFD">
        <w:rPr>
          <w:rFonts w:ascii="Bookman Old Style" w:hAnsi="Bookman Old Style"/>
          <w:spacing w:val="-9"/>
        </w:rPr>
        <w:t xml:space="preserve"> </w:t>
      </w:r>
      <w:r w:rsidRPr="00C00EFD">
        <w:rPr>
          <w:rFonts w:ascii="Bookman Old Style" w:hAnsi="Bookman Old Style"/>
        </w:rPr>
        <w:t>Documents.</w:t>
      </w:r>
    </w:p>
    <w:p w14:paraId="29069C39" w14:textId="77777777" w:rsidR="00DB096D" w:rsidRPr="00C00EFD" w:rsidRDefault="00DB096D">
      <w:pPr>
        <w:pStyle w:val="BodyText"/>
        <w:spacing w:before="1"/>
        <w:rPr>
          <w:rFonts w:ascii="Bookman Old Style" w:hAnsi="Bookman Old Style"/>
        </w:rPr>
      </w:pPr>
    </w:p>
    <w:p w14:paraId="7DA3FCB0" w14:textId="77777777" w:rsidR="00DB096D" w:rsidRPr="00C00EFD" w:rsidRDefault="00377258">
      <w:pPr>
        <w:pStyle w:val="ListParagraph"/>
        <w:numPr>
          <w:ilvl w:val="2"/>
          <w:numId w:val="4"/>
        </w:numPr>
        <w:tabs>
          <w:tab w:val="left" w:pos="1421"/>
        </w:tabs>
        <w:spacing w:before="1"/>
        <w:ind w:right="113"/>
        <w:jc w:val="both"/>
        <w:rPr>
          <w:rFonts w:ascii="Bookman Old Style" w:hAnsi="Bookman Old Style"/>
        </w:rPr>
      </w:pPr>
      <w:r w:rsidRPr="00C00EFD">
        <w:rPr>
          <w:rFonts w:ascii="Bookman Old Style" w:hAnsi="Bookman Old Style"/>
        </w:rPr>
        <w:t>For outstanding dues to micro, small and medium enterprises (“</w:t>
      </w:r>
      <w:r w:rsidRPr="00C00EFD">
        <w:rPr>
          <w:rFonts w:ascii="Bookman Old Style" w:hAnsi="Bookman Old Style"/>
          <w:b/>
        </w:rPr>
        <w:t>MSMEs”</w:t>
      </w:r>
      <w:r w:rsidRPr="00C00EFD">
        <w:rPr>
          <w:rFonts w:ascii="Bookman Old Style" w:hAnsi="Bookman Old Style"/>
        </w:rPr>
        <w:t>), the disclosure will be based on information available with the Company regarding the status of the creditors as MSMEs as defined under Section 2 of the Micro, Small and Medium Enterprises Development Act, 2006, as amended, as has been relied upon by the statutory auditors in preparing their audit report. Information for such identified MSMEs creditors shall be provided in the Offer Documents in the following</w:t>
      </w:r>
      <w:r w:rsidRPr="00C00EFD">
        <w:rPr>
          <w:rFonts w:ascii="Bookman Old Style" w:hAnsi="Bookman Old Style"/>
          <w:spacing w:val="-9"/>
        </w:rPr>
        <w:t xml:space="preserve"> </w:t>
      </w:r>
      <w:r w:rsidRPr="00C00EFD">
        <w:rPr>
          <w:rFonts w:ascii="Bookman Old Style" w:hAnsi="Bookman Old Style"/>
        </w:rPr>
        <w:t>manner:</w:t>
      </w:r>
    </w:p>
    <w:p w14:paraId="1721DECE" w14:textId="77777777" w:rsidR="00DB096D" w:rsidRPr="00C00EFD" w:rsidRDefault="00DB096D">
      <w:pPr>
        <w:pStyle w:val="BodyText"/>
        <w:spacing w:before="9"/>
        <w:rPr>
          <w:rFonts w:ascii="Bookman Old Style" w:hAnsi="Bookman Old Style"/>
        </w:rPr>
      </w:pPr>
    </w:p>
    <w:p w14:paraId="096D49D9" w14:textId="77777777" w:rsidR="00DB096D" w:rsidRPr="00C00EFD" w:rsidRDefault="00377258">
      <w:pPr>
        <w:pStyle w:val="ListParagraph"/>
        <w:numPr>
          <w:ilvl w:val="3"/>
          <w:numId w:val="4"/>
        </w:numPr>
        <w:tabs>
          <w:tab w:val="left" w:pos="1780"/>
          <w:tab w:val="left" w:pos="1781"/>
        </w:tabs>
        <w:rPr>
          <w:rFonts w:ascii="Bookman Old Style" w:hAnsi="Bookman Old Style"/>
        </w:rPr>
      </w:pPr>
      <w:r w:rsidRPr="00C00EFD">
        <w:rPr>
          <w:rFonts w:ascii="Bookman Old Style" w:hAnsi="Bookman Old Style"/>
        </w:rPr>
        <w:t>aggregate amounts due to such MSME creditors;</w:t>
      </w:r>
      <w:r w:rsidRPr="00C00EFD">
        <w:rPr>
          <w:rFonts w:ascii="Bookman Old Style" w:hAnsi="Bookman Old Style"/>
          <w:spacing w:val="-2"/>
        </w:rPr>
        <w:t xml:space="preserve"> </w:t>
      </w:r>
      <w:r w:rsidRPr="00C00EFD">
        <w:rPr>
          <w:rFonts w:ascii="Bookman Old Style" w:hAnsi="Bookman Old Style"/>
        </w:rPr>
        <w:t>and</w:t>
      </w:r>
    </w:p>
    <w:p w14:paraId="40B6C879" w14:textId="77777777" w:rsidR="00DB096D" w:rsidRPr="00C00EFD" w:rsidRDefault="00377258">
      <w:pPr>
        <w:pStyle w:val="ListParagraph"/>
        <w:numPr>
          <w:ilvl w:val="3"/>
          <w:numId w:val="4"/>
        </w:numPr>
        <w:tabs>
          <w:tab w:val="left" w:pos="1781"/>
        </w:tabs>
        <w:spacing w:before="1"/>
        <w:ind w:hanging="360"/>
        <w:rPr>
          <w:rFonts w:ascii="Bookman Old Style" w:hAnsi="Bookman Old Style"/>
        </w:rPr>
      </w:pPr>
      <w:r w:rsidRPr="00C00EFD">
        <w:rPr>
          <w:rFonts w:ascii="Bookman Old Style" w:hAnsi="Bookman Old Style"/>
        </w:rPr>
        <w:t>aggregate number of such MSME</w:t>
      </w:r>
      <w:r w:rsidRPr="00C00EFD">
        <w:rPr>
          <w:rFonts w:ascii="Bookman Old Style" w:hAnsi="Bookman Old Style"/>
          <w:spacing w:val="-3"/>
        </w:rPr>
        <w:t xml:space="preserve"> </w:t>
      </w:r>
      <w:r w:rsidRPr="00C00EFD">
        <w:rPr>
          <w:rFonts w:ascii="Bookman Old Style" w:hAnsi="Bookman Old Style"/>
        </w:rPr>
        <w:t>creditors.</w:t>
      </w:r>
    </w:p>
    <w:p w14:paraId="3F359E1A" w14:textId="77777777" w:rsidR="00DB096D" w:rsidRPr="00C00EFD" w:rsidRDefault="00DB096D">
      <w:pPr>
        <w:pStyle w:val="BodyText"/>
        <w:rPr>
          <w:rFonts w:ascii="Bookman Old Style" w:hAnsi="Bookman Old Style"/>
        </w:rPr>
      </w:pPr>
    </w:p>
    <w:p w14:paraId="06FF249D" w14:textId="6180045D" w:rsidR="00DB096D" w:rsidRPr="00C00EFD" w:rsidRDefault="00377258">
      <w:pPr>
        <w:pStyle w:val="BodyText"/>
        <w:ind w:left="1420"/>
        <w:rPr>
          <w:rFonts w:ascii="Bookman Old Style" w:hAnsi="Bookman Old Style"/>
        </w:rPr>
      </w:pPr>
      <w:r w:rsidRPr="00C00EFD">
        <w:rPr>
          <w:rFonts w:ascii="Bookman Old Style" w:hAnsi="Bookman Old Style"/>
        </w:rPr>
        <w:t xml:space="preserve">as of the date of the latest </w:t>
      </w:r>
      <w:r w:rsidR="006A346E" w:rsidRPr="00C00EFD">
        <w:rPr>
          <w:rFonts w:ascii="Bookman Old Style" w:hAnsi="Bookman Old Style"/>
        </w:rPr>
        <w:t>audited</w:t>
      </w:r>
      <w:r w:rsidRPr="00C00EFD">
        <w:rPr>
          <w:rFonts w:ascii="Bookman Old Style" w:hAnsi="Bookman Old Style"/>
        </w:rPr>
        <w:t xml:space="preserve"> financial statements included in the Offer Document</w:t>
      </w:r>
    </w:p>
    <w:p w14:paraId="052C545C" w14:textId="77777777" w:rsidR="00DB096D" w:rsidRPr="00C00EFD" w:rsidRDefault="00DB096D">
      <w:pPr>
        <w:pStyle w:val="BodyText"/>
        <w:spacing w:before="10"/>
        <w:rPr>
          <w:rFonts w:ascii="Bookman Old Style" w:hAnsi="Bookman Old Style"/>
        </w:rPr>
      </w:pPr>
    </w:p>
    <w:p w14:paraId="10ACFF2D" w14:textId="77777777" w:rsidR="00DB096D" w:rsidRPr="00C00EFD" w:rsidRDefault="00377258">
      <w:pPr>
        <w:pStyle w:val="ListParagraph"/>
        <w:numPr>
          <w:ilvl w:val="2"/>
          <w:numId w:val="4"/>
        </w:numPr>
        <w:tabs>
          <w:tab w:val="left" w:pos="1421"/>
        </w:tabs>
        <w:spacing w:before="1"/>
        <w:ind w:left="1421" w:right="113" w:hanging="721"/>
        <w:jc w:val="both"/>
        <w:rPr>
          <w:rFonts w:ascii="Bookman Old Style" w:hAnsi="Bookman Old Style"/>
        </w:rPr>
      </w:pPr>
      <w:r w:rsidRPr="00C00EFD">
        <w:rPr>
          <w:rFonts w:ascii="Bookman Old Style" w:hAnsi="Bookman Old Style"/>
        </w:rPr>
        <w:t>Complete details about outstanding over dues to the material creditors along with the name and amount involved for each such material creditor shall be disclosed on the website of our Company with a web link in the Offer</w:t>
      </w:r>
      <w:r w:rsidRPr="00C00EFD">
        <w:rPr>
          <w:rFonts w:ascii="Bookman Old Style" w:hAnsi="Bookman Old Style"/>
          <w:spacing w:val="-6"/>
        </w:rPr>
        <w:t xml:space="preserve"> </w:t>
      </w:r>
      <w:r w:rsidRPr="00C00EFD">
        <w:rPr>
          <w:rFonts w:ascii="Bookman Old Style" w:hAnsi="Bookman Old Style"/>
        </w:rPr>
        <w:t>Documents.</w:t>
      </w:r>
    </w:p>
    <w:p w14:paraId="57C62C33" w14:textId="77777777" w:rsidR="00DB096D" w:rsidRPr="00C00EFD" w:rsidRDefault="00DB096D">
      <w:pPr>
        <w:pStyle w:val="BodyText"/>
        <w:rPr>
          <w:rFonts w:ascii="Bookman Old Style" w:hAnsi="Bookman Old Style"/>
        </w:rPr>
      </w:pPr>
    </w:p>
    <w:p w14:paraId="689A8BF9" w14:textId="77777777" w:rsidR="00DB096D" w:rsidRPr="00C00EFD" w:rsidRDefault="00377258">
      <w:pPr>
        <w:pStyle w:val="BodyText"/>
        <w:ind w:left="341" w:right="115"/>
        <w:jc w:val="both"/>
        <w:rPr>
          <w:rFonts w:ascii="Bookman Old Style" w:hAnsi="Bookman Old Style"/>
        </w:rPr>
      </w:pPr>
      <w:r w:rsidRPr="00C00EFD">
        <w:rPr>
          <w:rFonts w:ascii="Bookman Old Style" w:hAnsi="Bookman Old Style"/>
        </w:rPr>
        <w:t>The Company shall make relevant disclosures before the Audit Committee/ Board of Directors as required by applicable law from time to</w:t>
      </w:r>
      <w:r w:rsidRPr="00C00EFD">
        <w:rPr>
          <w:rFonts w:ascii="Bookman Old Style" w:hAnsi="Bookman Old Style"/>
          <w:spacing w:val="-13"/>
        </w:rPr>
        <w:t xml:space="preserve"> </w:t>
      </w:r>
      <w:r w:rsidRPr="00C00EFD">
        <w:rPr>
          <w:rFonts w:ascii="Bookman Old Style" w:hAnsi="Bookman Old Style"/>
        </w:rPr>
        <w:t>time.</w:t>
      </w:r>
    </w:p>
    <w:p w14:paraId="0BF8BB6F" w14:textId="77777777" w:rsidR="00DB096D" w:rsidRPr="00C00EFD" w:rsidRDefault="00DB096D">
      <w:pPr>
        <w:pStyle w:val="BodyText"/>
        <w:spacing w:before="4"/>
        <w:rPr>
          <w:rFonts w:ascii="Bookman Old Style" w:hAnsi="Bookman Old Style"/>
        </w:rPr>
      </w:pPr>
    </w:p>
    <w:p w14:paraId="603B3AFC" w14:textId="77777777" w:rsidR="00DB096D" w:rsidRPr="00C00EFD" w:rsidRDefault="00377258">
      <w:pPr>
        <w:pStyle w:val="Heading1"/>
        <w:spacing w:before="1"/>
        <w:ind w:left="340" w:firstLine="0"/>
        <w:jc w:val="both"/>
        <w:rPr>
          <w:rFonts w:ascii="Bookman Old Style" w:hAnsi="Bookman Old Style"/>
        </w:rPr>
      </w:pPr>
      <w:bookmarkStart w:id="3" w:name="Identification_of_Material_Litigation"/>
      <w:bookmarkEnd w:id="3"/>
      <w:r w:rsidRPr="00C00EFD">
        <w:rPr>
          <w:rFonts w:ascii="Bookman Old Style" w:hAnsi="Bookman Old Style"/>
          <w:u w:val="thick"/>
        </w:rPr>
        <w:lastRenderedPageBreak/>
        <w:t>Identification of Material Litigation</w:t>
      </w:r>
    </w:p>
    <w:p w14:paraId="5B52AF16" w14:textId="77777777" w:rsidR="00DB096D" w:rsidRPr="00C00EFD" w:rsidRDefault="00DB096D">
      <w:pPr>
        <w:pStyle w:val="BodyText"/>
        <w:spacing w:before="10"/>
        <w:rPr>
          <w:rFonts w:ascii="Bookman Old Style" w:hAnsi="Bookman Old Style"/>
          <w:b/>
        </w:rPr>
      </w:pPr>
    </w:p>
    <w:p w14:paraId="0E13BB28" w14:textId="77777777" w:rsidR="00DB096D" w:rsidRPr="00C00EFD" w:rsidRDefault="00377258">
      <w:pPr>
        <w:spacing w:before="92"/>
        <w:ind w:left="340"/>
        <w:rPr>
          <w:rFonts w:ascii="Bookman Old Style" w:hAnsi="Bookman Old Style"/>
          <w:i/>
        </w:rPr>
      </w:pPr>
      <w:r w:rsidRPr="00C00EFD">
        <w:rPr>
          <w:rFonts w:ascii="Bookman Old Style" w:hAnsi="Bookman Old Style"/>
          <w:i/>
        </w:rPr>
        <w:t>Requirement:</w:t>
      </w:r>
    </w:p>
    <w:p w14:paraId="25FFB10B" w14:textId="77777777" w:rsidR="00DB096D" w:rsidRPr="00C00EFD" w:rsidRDefault="00DB096D">
      <w:pPr>
        <w:pStyle w:val="BodyText"/>
        <w:spacing w:before="5"/>
        <w:rPr>
          <w:rFonts w:ascii="Bookman Old Style" w:hAnsi="Bookman Old Style"/>
          <w:i/>
        </w:rPr>
      </w:pPr>
    </w:p>
    <w:p w14:paraId="5D37BFB9" w14:textId="77777777" w:rsidR="00DB096D" w:rsidRPr="00C00EFD" w:rsidRDefault="00377258">
      <w:pPr>
        <w:pStyle w:val="BodyText"/>
        <w:spacing w:before="1"/>
        <w:ind w:left="340" w:right="787"/>
        <w:rPr>
          <w:rFonts w:ascii="Bookman Old Style" w:hAnsi="Bookman Old Style"/>
        </w:rPr>
      </w:pPr>
      <w:r w:rsidRPr="00C00EFD">
        <w:rPr>
          <w:rFonts w:ascii="Bookman Old Style" w:hAnsi="Bookman Old Style"/>
        </w:rPr>
        <w:t>As per the requirements of SEBI ICDR Regulations, the Company shall disclose all the litigation involving the Company, its joint venture(s) and directors related to:</w:t>
      </w:r>
    </w:p>
    <w:p w14:paraId="3EC2F60C" w14:textId="77777777" w:rsidR="00DB096D" w:rsidRPr="00C00EFD" w:rsidRDefault="00DB096D">
      <w:pPr>
        <w:pStyle w:val="BodyText"/>
        <w:spacing w:before="4"/>
        <w:rPr>
          <w:rFonts w:ascii="Bookman Old Style" w:hAnsi="Bookman Old Style"/>
        </w:rPr>
      </w:pPr>
    </w:p>
    <w:p w14:paraId="5865FC08" w14:textId="77777777" w:rsidR="00DB096D" w:rsidRPr="00C00EFD" w:rsidRDefault="00377258" w:rsidP="003D216B">
      <w:pPr>
        <w:pStyle w:val="ListParagraph"/>
        <w:numPr>
          <w:ilvl w:val="0"/>
          <w:numId w:val="2"/>
        </w:numPr>
        <w:tabs>
          <w:tab w:val="left" w:pos="1420"/>
          <w:tab w:val="left" w:pos="1421"/>
        </w:tabs>
        <w:rPr>
          <w:rFonts w:ascii="Bookman Old Style" w:hAnsi="Bookman Old Style"/>
        </w:rPr>
      </w:pPr>
      <w:r w:rsidRPr="00C00EFD">
        <w:rPr>
          <w:rFonts w:ascii="Bookman Old Style" w:hAnsi="Bookman Old Style"/>
        </w:rPr>
        <w:t>All criminal</w:t>
      </w:r>
      <w:r w:rsidRPr="00C00EFD">
        <w:rPr>
          <w:rFonts w:ascii="Bookman Old Style" w:hAnsi="Bookman Old Style"/>
          <w:spacing w:val="-2"/>
        </w:rPr>
        <w:t xml:space="preserve"> </w:t>
      </w:r>
      <w:r w:rsidRPr="00C00EFD">
        <w:rPr>
          <w:rFonts w:ascii="Bookman Old Style" w:hAnsi="Bookman Old Style"/>
        </w:rPr>
        <w:t>proceedings;</w:t>
      </w:r>
    </w:p>
    <w:p w14:paraId="5B82984B" w14:textId="77777777" w:rsidR="00DB096D" w:rsidRPr="00C00EFD" w:rsidRDefault="00377258">
      <w:pPr>
        <w:pStyle w:val="ListParagraph"/>
        <w:numPr>
          <w:ilvl w:val="0"/>
          <w:numId w:val="2"/>
        </w:numPr>
        <w:tabs>
          <w:tab w:val="left" w:pos="1420"/>
          <w:tab w:val="left" w:pos="1421"/>
        </w:tabs>
        <w:spacing w:before="73"/>
        <w:rPr>
          <w:rFonts w:ascii="Bookman Old Style" w:hAnsi="Bookman Old Style"/>
        </w:rPr>
      </w:pPr>
      <w:r w:rsidRPr="00C00EFD">
        <w:rPr>
          <w:rFonts w:ascii="Bookman Old Style" w:hAnsi="Bookman Old Style"/>
        </w:rPr>
        <w:t>All actions by statutory / regulatory</w:t>
      </w:r>
      <w:r w:rsidRPr="00C00EFD">
        <w:rPr>
          <w:rFonts w:ascii="Bookman Old Style" w:hAnsi="Bookman Old Style"/>
          <w:spacing w:val="-10"/>
        </w:rPr>
        <w:t xml:space="preserve"> </w:t>
      </w:r>
      <w:r w:rsidRPr="00C00EFD">
        <w:rPr>
          <w:rFonts w:ascii="Bookman Old Style" w:hAnsi="Bookman Old Style"/>
        </w:rPr>
        <w:t>authorities;</w:t>
      </w:r>
    </w:p>
    <w:p w14:paraId="3C1969D6" w14:textId="77777777" w:rsidR="00DB096D" w:rsidRPr="00C00EFD" w:rsidRDefault="00377258">
      <w:pPr>
        <w:pStyle w:val="ListParagraph"/>
        <w:numPr>
          <w:ilvl w:val="0"/>
          <w:numId w:val="2"/>
        </w:numPr>
        <w:tabs>
          <w:tab w:val="left" w:pos="1420"/>
          <w:tab w:val="left" w:pos="1421"/>
        </w:tabs>
        <w:spacing w:before="6"/>
        <w:ind w:right="114"/>
        <w:rPr>
          <w:rFonts w:ascii="Bookman Old Style" w:hAnsi="Bookman Old Style"/>
        </w:rPr>
      </w:pPr>
      <w:r w:rsidRPr="00C00EFD">
        <w:rPr>
          <w:rFonts w:ascii="Bookman Old Style" w:hAnsi="Bookman Old Style"/>
        </w:rPr>
        <w:t>Claims related to direct and indirect taxes, in a consolidated manner giving details of number of cases and total amount;</w:t>
      </w:r>
      <w:r w:rsidRPr="00C00EFD">
        <w:rPr>
          <w:rFonts w:ascii="Bookman Old Style" w:hAnsi="Bookman Old Style"/>
          <w:spacing w:val="-6"/>
        </w:rPr>
        <w:t xml:space="preserve"> </w:t>
      </w:r>
      <w:r w:rsidRPr="00C00EFD">
        <w:rPr>
          <w:rFonts w:ascii="Bookman Old Style" w:hAnsi="Bookman Old Style"/>
        </w:rPr>
        <w:t>and</w:t>
      </w:r>
    </w:p>
    <w:p w14:paraId="35FE027F" w14:textId="77777777" w:rsidR="00DB096D" w:rsidRPr="00C00EFD" w:rsidRDefault="00377258">
      <w:pPr>
        <w:pStyle w:val="ListParagraph"/>
        <w:numPr>
          <w:ilvl w:val="0"/>
          <w:numId w:val="2"/>
        </w:numPr>
        <w:tabs>
          <w:tab w:val="left" w:pos="1420"/>
          <w:tab w:val="left" w:pos="1421"/>
        </w:tabs>
        <w:spacing w:before="10"/>
        <w:ind w:right="114" w:hanging="720"/>
        <w:rPr>
          <w:rFonts w:ascii="Bookman Old Style" w:hAnsi="Bookman Old Style"/>
        </w:rPr>
      </w:pPr>
      <w:r w:rsidRPr="00C00EFD">
        <w:rPr>
          <w:rFonts w:ascii="Bookman Old Style" w:hAnsi="Bookman Old Style"/>
        </w:rPr>
        <w:t>Other material pending litigations - as per policy of materiality defined by the Board and disclosed in the Offer Documents.</w:t>
      </w:r>
    </w:p>
    <w:p w14:paraId="6CB28E1D" w14:textId="77777777" w:rsidR="00DB096D" w:rsidRPr="00C00EFD" w:rsidRDefault="00DB096D">
      <w:pPr>
        <w:pStyle w:val="BodyText"/>
        <w:spacing w:before="2"/>
        <w:rPr>
          <w:rFonts w:ascii="Bookman Old Style" w:hAnsi="Bookman Old Style"/>
        </w:rPr>
      </w:pPr>
    </w:p>
    <w:p w14:paraId="1902CF6C" w14:textId="77777777" w:rsidR="00DB096D" w:rsidRPr="00C00EFD" w:rsidRDefault="00DB096D">
      <w:pPr>
        <w:pStyle w:val="BodyText"/>
        <w:spacing w:before="6"/>
        <w:rPr>
          <w:rFonts w:ascii="Bookman Old Style" w:hAnsi="Bookman Old Style"/>
        </w:rPr>
      </w:pPr>
    </w:p>
    <w:p w14:paraId="1BDC1078" w14:textId="77777777" w:rsidR="00DB096D" w:rsidRPr="00C00EFD" w:rsidRDefault="00377258">
      <w:pPr>
        <w:pStyle w:val="BodyText"/>
        <w:spacing w:before="1"/>
        <w:ind w:left="340" w:right="114"/>
        <w:jc w:val="both"/>
        <w:rPr>
          <w:rFonts w:ascii="Bookman Old Style" w:hAnsi="Bookman Old Style"/>
        </w:rPr>
      </w:pPr>
      <w:r w:rsidRPr="00C00EFD">
        <w:rPr>
          <w:rFonts w:ascii="Bookman Old Style" w:hAnsi="Bookman Old Style"/>
        </w:rPr>
        <w:t>Additionally, in terms of the SEBI ICDR Regulations, the Company is required to disclose any outstanding litigation involving the group companies, which may have a material impact on the Company. For the purposes of determining the outstanding litigation involving the group companies, which may have a material impact on the Company, the criteria specified under “</w:t>
      </w:r>
      <w:r w:rsidRPr="00C00EFD">
        <w:rPr>
          <w:rFonts w:ascii="Bookman Old Style" w:hAnsi="Bookman Old Style"/>
          <w:i/>
        </w:rPr>
        <w:t>Policy on materiality</w:t>
      </w:r>
      <w:r w:rsidRPr="00C00EFD">
        <w:rPr>
          <w:rFonts w:ascii="Bookman Old Style" w:hAnsi="Bookman Old Style"/>
        </w:rPr>
        <w:t>” herein below shall</w:t>
      </w:r>
      <w:r w:rsidRPr="00C00EFD">
        <w:rPr>
          <w:rFonts w:ascii="Bookman Old Style" w:hAnsi="Bookman Old Style"/>
          <w:spacing w:val="-1"/>
        </w:rPr>
        <w:t xml:space="preserve"> </w:t>
      </w:r>
      <w:r w:rsidRPr="00C00EFD">
        <w:rPr>
          <w:rFonts w:ascii="Bookman Old Style" w:hAnsi="Bookman Old Style"/>
        </w:rPr>
        <w:t>apply.</w:t>
      </w:r>
    </w:p>
    <w:p w14:paraId="647081D7" w14:textId="77777777" w:rsidR="00DB096D" w:rsidRPr="00C00EFD" w:rsidRDefault="00DB096D">
      <w:pPr>
        <w:pStyle w:val="BodyText"/>
        <w:spacing w:before="3"/>
        <w:rPr>
          <w:rFonts w:ascii="Bookman Old Style" w:hAnsi="Bookman Old Style"/>
        </w:rPr>
      </w:pPr>
    </w:p>
    <w:p w14:paraId="4B32026D" w14:textId="77777777" w:rsidR="00DB096D" w:rsidRPr="00C00EFD" w:rsidRDefault="00377258">
      <w:pPr>
        <w:spacing w:before="1"/>
        <w:ind w:left="340"/>
        <w:jc w:val="both"/>
        <w:rPr>
          <w:rFonts w:ascii="Bookman Old Style" w:hAnsi="Bookman Old Style"/>
          <w:i/>
        </w:rPr>
      </w:pPr>
      <w:r w:rsidRPr="00C00EFD">
        <w:rPr>
          <w:rFonts w:ascii="Bookman Old Style" w:hAnsi="Bookman Old Style"/>
          <w:i/>
        </w:rPr>
        <w:t>Policy on materiality:</w:t>
      </w:r>
    </w:p>
    <w:p w14:paraId="5893E9F6" w14:textId="77777777" w:rsidR="00DB096D" w:rsidRPr="00C00EFD" w:rsidRDefault="00DB096D">
      <w:pPr>
        <w:pStyle w:val="BodyText"/>
        <w:spacing w:before="3"/>
        <w:rPr>
          <w:rFonts w:ascii="Bookman Old Style" w:hAnsi="Bookman Old Style"/>
          <w:i/>
        </w:rPr>
      </w:pPr>
    </w:p>
    <w:p w14:paraId="3D835E74" w14:textId="77777777" w:rsidR="00DB096D" w:rsidRPr="00C00EFD" w:rsidRDefault="00377258">
      <w:pPr>
        <w:pStyle w:val="BodyText"/>
        <w:ind w:left="339" w:right="115"/>
        <w:jc w:val="both"/>
        <w:rPr>
          <w:rFonts w:ascii="Bookman Old Style" w:hAnsi="Bookman Old Style"/>
        </w:rPr>
      </w:pPr>
      <w:r w:rsidRPr="00C00EFD">
        <w:rPr>
          <w:rFonts w:ascii="Bookman Old Style" w:hAnsi="Bookman Old Style"/>
        </w:rPr>
        <w:t xml:space="preserve">For the purpose of point no (iv) above, any other pending litigation involving the Company, its directors and joint venture(s) shall be considered “material” for the purpose of disclosure in the Offer Documents </w:t>
      </w:r>
      <w:proofErr w:type="gramStart"/>
      <w:r w:rsidRPr="00C00EFD">
        <w:rPr>
          <w:rFonts w:ascii="Bookman Old Style" w:hAnsi="Bookman Old Style"/>
        </w:rPr>
        <w:t>if:-</w:t>
      </w:r>
      <w:proofErr w:type="gramEnd"/>
    </w:p>
    <w:p w14:paraId="73CB6B0B" w14:textId="77777777" w:rsidR="00DB096D" w:rsidRPr="00C00EFD" w:rsidRDefault="00DB096D">
      <w:pPr>
        <w:pStyle w:val="BodyText"/>
        <w:spacing w:before="6"/>
        <w:rPr>
          <w:rFonts w:ascii="Bookman Old Style" w:hAnsi="Bookman Old Style"/>
        </w:rPr>
      </w:pPr>
    </w:p>
    <w:p w14:paraId="5DD67C35" w14:textId="6E549FB5" w:rsidR="00DB096D" w:rsidRPr="00C00EFD" w:rsidRDefault="00377258">
      <w:pPr>
        <w:pStyle w:val="ListParagraph"/>
        <w:numPr>
          <w:ilvl w:val="0"/>
          <w:numId w:val="1"/>
        </w:numPr>
        <w:tabs>
          <w:tab w:val="left" w:pos="1495"/>
        </w:tabs>
        <w:ind w:right="113"/>
        <w:jc w:val="both"/>
        <w:rPr>
          <w:rFonts w:ascii="Bookman Old Style" w:hAnsi="Bookman Old Style"/>
        </w:rPr>
      </w:pPr>
      <w:r w:rsidRPr="00C00EFD">
        <w:rPr>
          <w:rFonts w:ascii="Bookman Old Style" w:hAnsi="Bookman Old Style"/>
        </w:rPr>
        <w:t xml:space="preserve">the monetary amount of the claim made by or against the Company, its joint venture(s) and directors in any such pending litigation is equal to or in excess of </w:t>
      </w:r>
      <w:r w:rsidR="00B37EDE" w:rsidRPr="00C00EFD">
        <w:rPr>
          <w:rFonts w:ascii="Bookman Old Style" w:hAnsi="Bookman Old Style"/>
        </w:rPr>
        <w:t>10</w:t>
      </w:r>
      <w:r w:rsidRPr="00C00EFD">
        <w:rPr>
          <w:rFonts w:ascii="Bookman Old Style" w:hAnsi="Bookman Old Style"/>
        </w:rPr>
        <w:t xml:space="preserve">% of the </w:t>
      </w:r>
      <w:r w:rsidRPr="00C00EFD">
        <w:rPr>
          <w:rFonts w:ascii="Bookman Old Style" w:hAnsi="Bookman Old Style"/>
          <w:spacing w:val="-3"/>
        </w:rPr>
        <w:t xml:space="preserve">consolidated </w:t>
      </w:r>
      <w:r w:rsidRPr="00C00EFD">
        <w:rPr>
          <w:rFonts w:ascii="Bookman Old Style" w:hAnsi="Bookman Old Style"/>
        </w:rPr>
        <w:t xml:space="preserve">revenue of the Company or </w:t>
      </w:r>
      <w:r w:rsidR="00455F48" w:rsidRPr="00C00EFD">
        <w:rPr>
          <w:rFonts w:ascii="Bookman Old Style" w:hAnsi="Bookman Old Style"/>
        </w:rPr>
        <w:t>2</w:t>
      </w:r>
      <w:r w:rsidRPr="00C00EFD">
        <w:rPr>
          <w:rFonts w:ascii="Bookman Old Style" w:hAnsi="Bookman Old Style"/>
        </w:rPr>
        <w:t xml:space="preserve">5% of the profits before tax of the Company (whichever is lower) as per the last </w:t>
      </w:r>
      <w:r w:rsidR="006A346E" w:rsidRPr="00C00EFD">
        <w:rPr>
          <w:rFonts w:ascii="Bookman Old Style" w:hAnsi="Bookman Old Style"/>
        </w:rPr>
        <w:t>audited</w:t>
      </w:r>
      <w:r w:rsidRPr="00C00EFD">
        <w:rPr>
          <w:rFonts w:ascii="Bookman Old Style" w:hAnsi="Bookman Old Style"/>
        </w:rPr>
        <w:t xml:space="preserve"> financial statements of the Company for a complete financial year, as included in the Offer Documents;</w:t>
      </w:r>
      <w:r w:rsidRPr="00C00EFD">
        <w:rPr>
          <w:rFonts w:ascii="Bookman Old Style" w:hAnsi="Bookman Old Style"/>
          <w:spacing w:val="-18"/>
        </w:rPr>
        <w:t xml:space="preserve"> </w:t>
      </w:r>
      <w:r w:rsidRPr="00C00EFD">
        <w:rPr>
          <w:rFonts w:ascii="Bookman Old Style" w:hAnsi="Bookman Old Style"/>
        </w:rPr>
        <w:t>or</w:t>
      </w:r>
    </w:p>
    <w:p w14:paraId="0867D6CC" w14:textId="77777777" w:rsidR="00DB096D" w:rsidRPr="00C00EFD" w:rsidRDefault="00DB096D">
      <w:pPr>
        <w:pStyle w:val="BodyText"/>
        <w:spacing w:before="4"/>
        <w:rPr>
          <w:rFonts w:ascii="Bookman Old Style" w:hAnsi="Bookman Old Style"/>
        </w:rPr>
      </w:pPr>
    </w:p>
    <w:p w14:paraId="12A805E9" w14:textId="77777777" w:rsidR="00DB096D" w:rsidRPr="00C00EFD" w:rsidRDefault="00377258">
      <w:pPr>
        <w:pStyle w:val="ListParagraph"/>
        <w:numPr>
          <w:ilvl w:val="0"/>
          <w:numId w:val="1"/>
        </w:numPr>
        <w:tabs>
          <w:tab w:val="left" w:pos="1495"/>
        </w:tabs>
        <w:ind w:left="1494" w:right="113"/>
        <w:jc w:val="both"/>
        <w:rPr>
          <w:rFonts w:ascii="Bookman Old Style" w:hAnsi="Bookman Old Style"/>
        </w:rPr>
      </w:pPr>
      <w:r w:rsidRPr="00C00EFD">
        <w:rPr>
          <w:rFonts w:ascii="Bookman Old Style" w:hAnsi="Bookman Old Style"/>
        </w:rPr>
        <w:t>where the decision in one case is likely to affect the decision in similar cases, even though the amount involved in an individual litigation does not exceed the amount determined as per clause (a) above, and the amount involved in all of such cases taken together exceeds the amount determined as per clause (a) above;</w:t>
      </w:r>
      <w:r w:rsidRPr="00C00EFD">
        <w:rPr>
          <w:rFonts w:ascii="Bookman Old Style" w:hAnsi="Bookman Old Style"/>
          <w:spacing w:val="-2"/>
        </w:rPr>
        <w:t xml:space="preserve"> </w:t>
      </w:r>
      <w:r w:rsidRPr="00C00EFD">
        <w:rPr>
          <w:rFonts w:ascii="Bookman Old Style" w:hAnsi="Bookman Old Style"/>
        </w:rPr>
        <w:t>and</w:t>
      </w:r>
    </w:p>
    <w:p w14:paraId="52F77F27" w14:textId="77777777" w:rsidR="00DB096D" w:rsidRPr="00C00EFD" w:rsidRDefault="00DB096D">
      <w:pPr>
        <w:pStyle w:val="BodyText"/>
        <w:spacing w:before="3"/>
        <w:rPr>
          <w:rFonts w:ascii="Bookman Old Style" w:hAnsi="Bookman Old Style"/>
        </w:rPr>
      </w:pPr>
    </w:p>
    <w:p w14:paraId="7BD5EE41" w14:textId="77777777" w:rsidR="00DB096D" w:rsidRPr="00C00EFD" w:rsidRDefault="00377258">
      <w:pPr>
        <w:pStyle w:val="ListParagraph"/>
        <w:numPr>
          <w:ilvl w:val="0"/>
          <w:numId w:val="1"/>
        </w:numPr>
        <w:tabs>
          <w:tab w:val="left" w:pos="1495"/>
        </w:tabs>
        <w:ind w:right="114"/>
        <w:jc w:val="both"/>
        <w:rPr>
          <w:rFonts w:ascii="Bookman Old Style" w:hAnsi="Bookman Old Style"/>
        </w:rPr>
      </w:pPr>
      <w:r w:rsidRPr="00C00EFD">
        <w:rPr>
          <w:rFonts w:ascii="Bookman Old Style" w:hAnsi="Bookman Old Style"/>
        </w:rPr>
        <w:t>any such litigation which does not meet the criteria set out in (a) above and an adverse outcome in which would materially and adversely affect the operations or financial position of the Company.</w:t>
      </w:r>
    </w:p>
    <w:p w14:paraId="592233D0" w14:textId="77777777" w:rsidR="00DB096D" w:rsidRPr="00C00EFD" w:rsidRDefault="00377258">
      <w:pPr>
        <w:pStyle w:val="Heading1"/>
        <w:numPr>
          <w:ilvl w:val="0"/>
          <w:numId w:val="4"/>
        </w:numPr>
        <w:tabs>
          <w:tab w:val="left" w:pos="1041"/>
          <w:tab w:val="left" w:pos="1042"/>
        </w:tabs>
        <w:spacing w:before="127"/>
        <w:ind w:hanging="937"/>
        <w:jc w:val="left"/>
        <w:rPr>
          <w:rFonts w:ascii="Bookman Old Style" w:hAnsi="Bookman Old Style"/>
        </w:rPr>
      </w:pPr>
      <w:bookmarkStart w:id="4" w:name="AMENDMENT"/>
      <w:bookmarkEnd w:id="4"/>
      <w:r w:rsidRPr="00C00EFD">
        <w:rPr>
          <w:rFonts w:ascii="Bookman Old Style" w:hAnsi="Bookman Old Style"/>
        </w:rPr>
        <w:t>AMENDMENT</w:t>
      </w:r>
    </w:p>
    <w:p w14:paraId="102AAAAD" w14:textId="77777777" w:rsidR="00DB096D" w:rsidRPr="00C00EFD" w:rsidRDefault="00DB096D">
      <w:pPr>
        <w:pStyle w:val="BodyText"/>
        <w:spacing w:before="5"/>
        <w:rPr>
          <w:rFonts w:ascii="Bookman Old Style" w:hAnsi="Bookman Old Style"/>
          <w:b/>
        </w:rPr>
      </w:pPr>
    </w:p>
    <w:p w14:paraId="4FE268D7" w14:textId="77777777" w:rsidR="00DB096D" w:rsidRPr="00C1011E" w:rsidRDefault="00377258">
      <w:pPr>
        <w:pStyle w:val="BodyText"/>
        <w:ind w:left="341" w:right="113" w:hanging="1"/>
        <w:jc w:val="both"/>
        <w:rPr>
          <w:rFonts w:ascii="Bookman Old Style" w:hAnsi="Bookman Old Style"/>
        </w:rPr>
      </w:pPr>
      <w:r w:rsidRPr="00C00EFD">
        <w:rPr>
          <w:rFonts w:ascii="Bookman Old Style" w:hAnsi="Bookman Old Style"/>
        </w:rPr>
        <w:t>The Chairman &amp; Managing Director of the Company shall have the power to amend any of t</w:t>
      </w:r>
      <w:r w:rsidR="00AE0BAA" w:rsidRPr="00C00EFD">
        <w:rPr>
          <w:rFonts w:ascii="Bookman Old Style" w:hAnsi="Bookman Old Style"/>
        </w:rPr>
        <w:t xml:space="preserve">he </w:t>
      </w:r>
      <w:r w:rsidRPr="00C00EFD">
        <w:rPr>
          <w:rFonts w:ascii="Bookman Old Style" w:hAnsi="Bookman Old Style"/>
        </w:rPr>
        <w:t>provisions of this Materiality Policy, substitute any of the provisions with a new provision or replace this Materiality Policy entirely with a new Policy. This Materiality</w:t>
      </w:r>
      <w:r w:rsidR="00A23612" w:rsidRPr="00C00EFD">
        <w:rPr>
          <w:rFonts w:ascii="Bookman Old Style" w:hAnsi="Bookman Old Style"/>
        </w:rPr>
        <w:t xml:space="preserve"> </w:t>
      </w:r>
      <w:r w:rsidRPr="00C00EFD">
        <w:rPr>
          <w:rFonts w:ascii="Bookman Old Style" w:hAnsi="Bookman Old Style"/>
        </w:rPr>
        <w:t>Policy shall be subject to review/changes as may be deemed necessary and in accordance with regulatory amendments from time to</w:t>
      </w:r>
      <w:r w:rsidRPr="00C00EFD">
        <w:rPr>
          <w:rFonts w:ascii="Bookman Old Style" w:hAnsi="Bookman Old Style"/>
          <w:spacing w:val="-20"/>
        </w:rPr>
        <w:t xml:space="preserve"> </w:t>
      </w:r>
      <w:r w:rsidRPr="00C00EFD">
        <w:rPr>
          <w:rFonts w:ascii="Bookman Old Style" w:hAnsi="Bookman Old Style"/>
        </w:rPr>
        <w:t>time.</w:t>
      </w:r>
    </w:p>
    <w:sectPr w:rsidR="00DB096D" w:rsidRPr="00C1011E">
      <w:footerReference w:type="default" r:id="rId7"/>
      <w:pgSz w:w="11900" w:h="16850"/>
      <w:pgMar w:top="1360" w:right="1020" w:bottom="1600" w:left="1080" w:header="0" w:footer="1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79C0" w14:textId="77777777" w:rsidR="007E1CCF" w:rsidRDefault="007E1CCF">
      <w:r>
        <w:separator/>
      </w:r>
    </w:p>
  </w:endnote>
  <w:endnote w:type="continuationSeparator" w:id="0">
    <w:p w14:paraId="014D9E46" w14:textId="77777777" w:rsidR="007E1CCF" w:rsidRDefault="007E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577790"/>
      <w:docPartObj>
        <w:docPartGallery w:val="Page Numbers (Bottom of Page)"/>
        <w:docPartUnique/>
      </w:docPartObj>
    </w:sdtPr>
    <w:sdtContent>
      <w:sdt>
        <w:sdtPr>
          <w:id w:val="-1769616900"/>
          <w:docPartObj>
            <w:docPartGallery w:val="Page Numbers (Top of Page)"/>
            <w:docPartUnique/>
          </w:docPartObj>
        </w:sdtPr>
        <w:sdtContent>
          <w:p w14:paraId="3C8FFC6F" w14:textId="4D56E141" w:rsidR="00C5706D" w:rsidRDefault="00C570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49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4916">
              <w:rPr>
                <w:b/>
                <w:bCs/>
                <w:noProof/>
              </w:rPr>
              <w:t>5</w:t>
            </w:r>
            <w:r>
              <w:rPr>
                <w:b/>
                <w:bCs/>
                <w:sz w:val="24"/>
                <w:szCs w:val="24"/>
              </w:rPr>
              <w:fldChar w:fldCharType="end"/>
            </w:r>
          </w:p>
        </w:sdtContent>
      </w:sdt>
    </w:sdtContent>
  </w:sdt>
  <w:p w14:paraId="7AD4114D" w14:textId="77777777" w:rsidR="00DB096D" w:rsidRDefault="00DB09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5ECE" w14:textId="77777777" w:rsidR="007E1CCF" w:rsidRDefault="007E1CCF">
      <w:r>
        <w:separator/>
      </w:r>
    </w:p>
  </w:footnote>
  <w:footnote w:type="continuationSeparator" w:id="0">
    <w:p w14:paraId="3A3C7C5F" w14:textId="77777777" w:rsidR="007E1CCF" w:rsidRDefault="007E1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850"/>
    <w:multiLevelType w:val="hybridMultilevel"/>
    <w:tmpl w:val="35E05580"/>
    <w:lvl w:ilvl="0" w:tplc="7CDC6C6C">
      <w:start w:val="1"/>
      <w:numFmt w:val="lowerRoman"/>
      <w:lvlText w:val="(%1)"/>
      <w:lvlJc w:val="left"/>
      <w:pPr>
        <w:ind w:left="791" w:hanging="452"/>
        <w:jc w:val="left"/>
      </w:pPr>
      <w:rPr>
        <w:rFonts w:ascii="Times New Roman" w:eastAsia="Times New Roman" w:hAnsi="Times New Roman" w:cs="Times New Roman" w:hint="default"/>
        <w:w w:val="100"/>
        <w:sz w:val="22"/>
        <w:szCs w:val="22"/>
        <w:lang w:val="en-US" w:eastAsia="en-US" w:bidi="en-US"/>
      </w:rPr>
    </w:lvl>
    <w:lvl w:ilvl="1" w:tplc="C8C82000">
      <w:numFmt w:val="bullet"/>
      <w:lvlText w:val="•"/>
      <w:lvlJc w:val="left"/>
      <w:pPr>
        <w:ind w:left="1699" w:hanging="452"/>
      </w:pPr>
      <w:rPr>
        <w:rFonts w:hint="default"/>
        <w:lang w:val="en-US" w:eastAsia="en-US" w:bidi="en-US"/>
      </w:rPr>
    </w:lvl>
    <w:lvl w:ilvl="2" w:tplc="E2BE3BFE">
      <w:numFmt w:val="bullet"/>
      <w:lvlText w:val="•"/>
      <w:lvlJc w:val="left"/>
      <w:pPr>
        <w:ind w:left="2599" w:hanging="452"/>
      </w:pPr>
      <w:rPr>
        <w:rFonts w:hint="default"/>
        <w:lang w:val="en-US" w:eastAsia="en-US" w:bidi="en-US"/>
      </w:rPr>
    </w:lvl>
    <w:lvl w:ilvl="3" w:tplc="F7FC48C6">
      <w:numFmt w:val="bullet"/>
      <w:lvlText w:val="•"/>
      <w:lvlJc w:val="left"/>
      <w:pPr>
        <w:ind w:left="3499" w:hanging="452"/>
      </w:pPr>
      <w:rPr>
        <w:rFonts w:hint="default"/>
        <w:lang w:val="en-US" w:eastAsia="en-US" w:bidi="en-US"/>
      </w:rPr>
    </w:lvl>
    <w:lvl w:ilvl="4" w:tplc="2C24C532">
      <w:numFmt w:val="bullet"/>
      <w:lvlText w:val="•"/>
      <w:lvlJc w:val="left"/>
      <w:pPr>
        <w:ind w:left="4399" w:hanging="452"/>
      </w:pPr>
      <w:rPr>
        <w:rFonts w:hint="default"/>
        <w:lang w:val="en-US" w:eastAsia="en-US" w:bidi="en-US"/>
      </w:rPr>
    </w:lvl>
    <w:lvl w:ilvl="5" w:tplc="AF4A3F22">
      <w:numFmt w:val="bullet"/>
      <w:lvlText w:val="•"/>
      <w:lvlJc w:val="left"/>
      <w:pPr>
        <w:ind w:left="5299" w:hanging="452"/>
      </w:pPr>
      <w:rPr>
        <w:rFonts w:hint="default"/>
        <w:lang w:val="en-US" w:eastAsia="en-US" w:bidi="en-US"/>
      </w:rPr>
    </w:lvl>
    <w:lvl w:ilvl="6" w:tplc="9092D676">
      <w:numFmt w:val="bullet"/>
      <w:lvlText w:val="•"/>
      <w:lvlJc w:val="left"/>
      <w:pPr>
        <w:ind w:left="6199" w:hanging="452"/>
      </w:pPr>
      <w:rPr>
        <w:rFonts w:hint="default"/>
        <w:lang w:val="en-US" w:eastAsia="en-US" w:bidi="en-US"/>
      </w:rPr>
    </w:lvl>
    <w:lvl w:ilvl="7" w:tplc="F88CC41E">
      <w:numFmt w:val="bullet"/>
      <w:lvlText w:val="•"/>
      <w:lvlJc w:val="left"/>
      <w:pPr>
        <w:ind w:left="7099" w:hanging="452"/>
      </w:pPr>
      <w:rPr>
        <w:rFonts w:hint="default"/>
        <w:lang w:val="en-US" w:eastAsia="en-US" w:bidi="en-US"/>
      </w:rPr>
    </w:lvl>
    <w:lvl w:ilvl="8" w:tplc="38C8AB72">
      <w:numFmt w:val="bullet"/>
      <w:lvlText w:val="•"/>
      <w:lvlJc w:val="left"/>
      <w:pPr>
        <w:ind w:left="7999" w:hanging="452"/>
      </w:pPr>
      <w:rPr>
        <w:rFonts w:hint="default"/>
        <w:lang w:val="en-US" w:eastAsia="en-US" w:bidi="en-US"/>
      </w:rPr>
    </w:lvl>
  </w:abstractNum>
  <w:abstractNum w:abstractNumId="1" w15:restartNumberingAfterBreak="0">
    <w:nsid w:val="331A21AE"/>
    <w:multiLevelType w:val="hybridMultilevel"/>
    <w:tmpl w:val="8B025EB2"/>
    <w:lvl w:ilvl="0" w:tplc="31FAAC20">
      <w:start w:val="1"/>
      <w:numFmt w:val="lowerRoman"/>
      <w:lvlText w:val="(%1)"/>
      <w:lvlJc w:val="left"/>
      <w:pPr>
        <w:ind w:left="1420" w:hanging="721"/>
        <w:jc w:val="left"/>
      </w:pPr>
      <w:rPr>
        <w:rFonts w:ascii="Times New Roman" w:eastAsia="Times New Roman" w:hAnsi="Times New Roman" w:cs="Times New Roman" w:hint="default"/>
        <w:w w:val="100"/>
        <w:sz w:val="22"/>
        <w:szCs w:val="22"/>
        <w:lang w:val="en-US" w:eastAsia="en-US" w:bidi="en-US"/>
      </w:rPr>
    </w:lvl>
    <w:lvl w:ilvl="1" w:tplc="BF8E549C">
      <w:numFmt w:val="bullet"/>
      <w:lvlText w:val="•"/>
      <w:lvlJc w:val="left"/>
      <w:pPr>
        <w:ind w:left="2257" w:hanging="721"/>
      </w:pPr>
      <w:rPr>
        <w:rFonts w:hint="default"/>
        <w:lang w:val="en-US" w:eastAsia="en-US" w:bidi="en-US"/>
      </w:rPr>
    </w:lvl>
    <w:lvl w:ilvl="2" w:tplc="428EB318">
      <w:numFmt w:val="bullet"/>
      <w:lvlText w:val="•"/>
      <w:lvlJc w:val="left"/>
      <w:pPr>
        <w:ind w:left="3095" w:hanging="721"/>
      </w:pPr>
      <w:rPr>
        <w:rFonts w:hint="default"/>
        <w:lang w:val="en-US" w:eastAsia="en-US" w:bidi="en-US"/>
      </w:rPr>
    </w:lvl>
    <w:lvl w:ilvl="3" w:tplc="232CADB2">
      <w:numFmt w:val="bullet"/>
      <w:lvlText w:val="•"/>
      <w:lvlJc w:val="left"/>
      <w:pPr>
        <w:ind w:left="3933" w:hanging="721"/>
      </w:pPr>
      <w:rPr>
        <w:rFonts w:hint="default"/>
        <w:lang w:val="en-US" w:eastAsia="en-US" w:bidi="en-US"/>
      </w:rPr>
    </w:lvl>
    <w:lvl w:ilvl="4" w:tplc="FE7A255A">
      <w:numFmt w:val="bullet"/>
      <w:lvlText w:val="•"/>
      <w:lvlJc w:val="left"/>
      <w:pPr>
        <w:ind w:left="4771" w:hanging="721"/>
      </w:pPr>
      <w:rPr>
        <w:rFonts w:hint="default"/>
        <w:lang w:val="en-US" w:eastAsia="en-US" w:bidi="en-US"/>
      </w:rPr>
    </w:lvl>
    <w:lvl w:ilvl="5" w:tplc="2FF2B688">
      <w:numFmt w:val="bullet"/>
      <w:lvlText w:val="•"/>
      <w:lvlJc w:val="left"/>
      <w:pPr>
        <w:ind w:left="5609" w:hanging="721"/>
      </w:pPr>
      <w:rPr>
        <w:rFonts w:hint="default"/>
        <w:lang w:val="en-US" w:eastAsia="en-US" w:bidi="en-US"/>
      </w:rPr>
    </w:lvl>
    <w:lvl w:ilvl="6" w:tplc="15E098E0">
      <w:numFmt w:val="bullet"/>
      <w:lvlText w:val="•"/>
      <w:lvlJc w:val="left"/>
      <w:pPr>
        <w:ind w:left="6447" w:hanging="721"/>
      </w:pPr>
      <w:rPr>
        <w:rFonts w:hint="default"/>
        <w:lang w:val="en-US" w:eastAsia="en-US" w:bidi="en-US"/>
      </w:rPr>
    </w:lvl>
    <w:lvl w:ilvl="7" w:tplc="2F2E70D6">
      <w:numFmt w:val="bullet"/>
      <w:lvlText w:val="•"/>
      <w:lvlJc w:val="left"/>
      <w:pPr>
        <w:ind w:left="7285" w:hanging="721"/>
      </w:pPr>
      <w:rPr>
        <w:rFonts w:hint="default"/>
        <w:lang w:val="en-US" w:eastAsia="en-US" w:bidi="en-US"/>
      </w:rPr>
    </w:lvl>
    <w:lvl w:ilvl="8" w:tplc="523075F0">
      <w:numFmt w:val="bullet"/>
      <w:lvlText w:val="•"/>
      <w:lvlJc w:val="left"/>
      <w:pPr>
        <w:ind w:left="8123" w:hanging="721"/>
      </w:pPr>
      <w:rPr>
        <w:rFonts w:hint="default"/>
        <w:lang w:val="en-US" w:eastAsia="en-US" w:bidi="en-US"/>
      </w:rPr>
    </w:lvl>
  </w:abstractNum>
  <w:abstractNum w:abstractNumId="2" w15:restartNumberingAfterBreak="0">
    <w:nsid w:val="4F152F35"/>
    <w:multiLevelType w:val="hybridMultilevel"/>
    <w:tmpl w:val="8216F7B8"/>
    <w:lvl w:ilvl="0" w:tplc="D852817A">
      <w:start w:val="1"/>
      <w:numFmt w:val="upperLetter"/>
      <w:lvlText w:val="%1."/>
      <w:lvlJc w:val="left"/>
      <w:pPr>
        <w:ind w:left="1041" w:hanging="701"/>
        <w:jc w:val="right"/>
      </w:pPr>
      <w:rPr>
        <w:rFonts w:ascii="Times New Roman" w:eastAsia="Times New Roman" w:hAnsi="Times New Roman" w:cs="Times New Roman" w:hint="default"/>
        <w:b/>
        <w:bCs/>
        <w:spacing w:val="-4"/>
        <w:w w:val="100"/>
        <w:sz w:val="22"/>
        <w:szCs w:val="22"/>
        <w:lang w:val="en-US" w:eastAsia="en-US" w:bidi="en-US"/>
      </w:rPr>
    </w:lvl>
    <w:lvl w:ilvl="1" w:tplc="9662C624">
      <w:start w:val="1"/>
      <w:numFmt w:val="lowerRoman"/>
      <w:lvlText w:val="(%2)"/>
      <w:lvlJc w:val="left"/>
      <w:pPr>
        <w:ind w:left="1295" w:hanging="721"/>
        <w:jc w:val="left"/>
      </w:pPr>
      <w:rPr>
        <w:rFonts w:ascii="Times New Roman" w:eastAsia="Times New Roman" w:hAnsi="Times New Roman" w:cs="Times New Roman" w:hint="default"/>
        <w:w w:val="100"/>
        <w:sz w:val="22"/>
        <w:szCs w:val="22"/>
        <w:lang w:val="en-US" w:eastAsia="en-US" w:bidi="en-US"/>
      </w:rPr>
    </w:lvl>
    <w:lvl w:ilvl="2" w:tplc="EDCE9BE2">
      <w:start w:val="1"/>
      <w:numFmt w:val="lowerRoman"/>
      <w:lvlText w:val="(%3)"/>
      <w:lvlJc w:val="left"/>
      <w:pPr>
        <w:ind w:left="1420" w:hanging="720"/>
        <w:jc w:val="left"/>
      </w:pPr>
      <w:rPr>
        <w:rFonts w:ascii="Times New Roman" w:eastAsia="Times New Roman" w:hAnsi="Times New Roman" w:cs="Times New Roman" w:hint="default"/>
        <w:spacing w:val="-1"/>
        <w:w w:val="99"/>
        <w:sz w:val="20"/>
        <w:szCs w:val="20"/>
        <w:lang w:val="en-US" w:eastAsia="en-US" w:bidi="en-US"/>
      </w:rPr>
    </w:lvl>
    <w:lvl w:ilvl="3" w:tplc="B546D150">
      <w:start w:val="1"/>
      <w:numFmt w:val="lowerLetter"/>
      <w:lvlText w:val="%4."/>
      <w:lvlJc w:val="left"/>
      <w:pPr>
        <w:ind w:left="1780" w:hanging="361"/>
        <w:jc w:val="left"/>
      </w:pPr>
      <w:rPr>
        <w:rFonts w:ascii="Times New Roman" w:eastAsia="Times New Roman" w:hAnsi="Times New Roman" w:cs="Times New Roman" w:hint="default"/>
        <w:w w:val="100"/>
        <w:sz w:val="22"/>
        <w:szCs w:val="22"/>
        <w:lang w:val="en-US" w:eastAsia="en-US" w:bidi="en-US"/>
      </w:rPr>
    </w:lvl>
    <w:lvl w:ilvl="4" w:tplc="8F008EAE">
      <w:numFmt w:val="bullet"/>
      <w:lvlText w:val="•"/>
      <w:lvlJc w:val="left"/>
      <w:pPr>
        <w:ind w:left="2925" w:hanging="361"/>
      </w:pPr>
      <w:rPr>
        <w:rFonts w:hint="default"/>
        <w:lang w:val="en-US" w:eastAsia="en-US" w:bidi="en-US"/>
      </w:rPr>
    </w:lvl>
    <w:lvl w:ilvl="5" w:tplc="22FECC6C">
      <w:numFmt w:val="bullet"/>
      <w:lvlText w:val="•"/>
      <w:lvlJc w:val="left"/>
      <w:pPr>
        <w:ind w:left="4071" w:hanging="361"/>
      </w:pPr>
      <w:rPr>
        <w:rFonts w:hint="default"/>
        <w:lang w:val="en-US" w:eastAsia="en-US" w:bidi="en-US"/>
      </w:rPr>
    </w:lvl>
    <w:lvl w:ilvl="6" w:tplc="E6F044A8">
      <w:numFmt w:val="bullet"/>
      <w:lvlText w:val="•"/>
      <w:lvlJc w:val="left"/>
      <w:pPr>
        <w:ind w:left="5216" w:hanging="361"/>
      </w:pPr>
      <w:rPr>
        <w:rFonts w:hint="default"/>
        <w:lang w:val="en-US" w:eastAsia="en-US" w:bidi="en-US"/>
      </w:rPr>
    </w:lvl>
    <w:lvl w:ilvl="7" w:tplc="4D1C8F24">
      <w:numFmt w:val="bullet"/>
      <w:lvlText w:val="•"/>
      <w:lvlJc w:val="left"/>
      <w:pPr>
        <w:ind w:left="6362" w:hanging="361"/>
      </w:pPr>
      <w:rPr>
        <w:rFonts w:hint="default"/>
        <w:lang w:val="en-US" w:eastAsia="en-US" w:bidi="en-US"/>
      </w:rPr>
    </w:lvl>
    <w:lvl w:ilvl="8" w:tplc="E8A6C896">
      <w:numFmt w:val="bullet"/>
      <w:lvlText w:val="•"/>
      <w:lvlJc w:val="left"/>
      <w:pPr>
        <w:ind w:left="7508" w:hanging="361"/>
      </w:pPr>
      <w:rPr>
        <w:rFonts w:hint="default"/>
        <w:lang w:val="en-US" w:eastAsia="en-US" w:bidi="en-US"/>
      </w:rPr>
    </w:lvl>
  </w:abstractNum>
  <w:abstractNum w:abstractNumId="3" w15:restartNumberingAfterBreak="0">
    <w:nsid w:val="775831E3"/>
    <w:multiLevelType w:val="hybridMultilevel"/>
    <w:tmpl w:val="0B20186C"/>
    <w:lvl w:ilvl="0" w:tplc="30582BB8">
      <w:start w:val="1"/>
      <w:numFmt w:val="lowerLetter"/>
      <w:lvlText w:val="(%1)"/>
      <w:lvlJc w:val="left"/>
      <w:pPr>
        <w:ind w:left="1493" w:hanging="795"/>
        <w:jc w:val="left"/>
      </w:pPr>
      <w:rPr>
        <w:rFonts w:ascii="Times New Roman" w:eastAsia="Times New Roman" w:hAnsi="Times New Roman" w:cs="Times New Roman" w:hint="default"/>
        <w:w w:val="100"/>
        <w:sz w:val="22"/>
        <w:szCs w:val="22"/>
        <w:lang w:val="en-US" w:eastAsia="en-US" w:bidi="en-US"/>
      </w:rPr>
    </w:lvl>
    <w:lvl w:ilvl="1" w:tplc="81FE4EBC">
      <w:numFmt w:val="bullet"/>
      <w:lvlText w:val="•"/>
      <w:lvlJc w:val="left"/>
      <w:pPr>
        <w:ind w:left="2329" w:hanging="795"/>
      </w:pPr>
      <w:rPr>
        <w:rFonts w:hint="default"/>
        <w:lang w:val="en-US" w:eastAsia="en-US" w:bidi="en-US"/>
      </w:rPr>
    </w:lvl>
    <w:lvl w:ilvl="2" w:tplc="FEE64A2E">
      <w:numFmt w:val="bullet"/>
      <w:lvlText w:val="•"/>
      <w:lvlJc w:val="left"/>
      <w:pPr>
        <w:ind w:left="3159" w:hanging="795"/>
      </w:pPr>
      <w:rPr>
        <w:rFonts w:hint="default"/>
        <w:lang w:val="en-US" w:eastAsia="en-US" w:bidi="en-US"/>
      </w:rPr>
    </w:lvl>
    <w:lvl w:ilvl="3" w:tplc="3902837A">
      <w:numFmt w:val="bullet"/>
      <w:lvlText w:val="•"/>
      <w:lvlJc w:val="left"/>
      <w:pPr>
        <w:ind w:left="3989" w:hanging="795"/>
      </w:pPr>
      <w:rPr>
        <w:rFonts w:hint="default"/>
        <w:lang w:val="en-US" w:eastAsia="en-US" w:bidi="en-US"/>
      </w:rPr>
    </w:lvl>
    <w:lvl w:ilvl="4" w:tplc="6B2006E0">
      <w:numFmt w:val="bullet"/>
      <w:lvlText w:val="•"/>
      <w:lvlJc w:val="left"/>
      <w:pPr>
        <w:ind w:left="4819" w:hanging="795"/>
      </w:pPr>
      <w:rPr>
        <w:rFonts w:hint="default"/>
        <w:lang w:val="en-US" w:eastAsia="en-US" w:bidi="en-US"/>
      </w:rPr>
    </w:lvl>
    <w:lvl w:ilvl="5" w:tplc="0F42A9AC">
      <w:numFmt w:val="bullet"/>
      <w:lvlText w:val="•"/>
      <w:lvlJc w:val="left"/>
      <w:pPr>
        <w:ind w:left="5649" w:hanging="795"/>
      </w:pPr>
      <w:rPr>
        <w:rFonts w:hint="default"/>
        <w:lang w:val="en-US" w:eastAsia="en-US" w:bidi="en-US"/>
      </w:rPr>
    </w:lvl>
    <w:lvl w:ilvl="6" w:tplc="962238D8">
      <w:numFmt w:val="bullet"/>
      <w:lvlText w:val="•"/>
      <w:lvlJc w:val="left"/>
      <w:pPr>
        <w:ind w:left="6479" w:hanging="795"/>
      </w:pPr>
      <w:rPr>
        <w:rFonts w:hint="default"/>
        <w:lang w:val="en-US" w:eastAsia="en-US" w:bidi="en-US"/>
      </w:rPr>
    </w:lvl>
    <w:lvl w:ilvl="7" w:tplc="09BA7748">
      <w:numFmt w:val="bullet"/>
      <w:lvlText w:val="•"/>
      <w:lvlJc w:val="left"/>
      <w:pPr>
        <w:ind w:left="7309" w:hanging="795"/>
      </w:pPr>
      <w:rPr>
        <w:rFonts w:hint="default"/>
        <w:lang w:val="en-US" w:eastAsia="en-US" w:bidi="en-US"/>
      </w:rPr>
    </w:lvl>
    <w:lvl w:ilvl="8" w:tplc="65D04744">
      <w:numFmt w:val="bullet"/>
      <w:lvlText w:val="•"/>
      <w:lvlJc w:val="left"/>
      <w:pPr>
        <w:ind w:left="8139" w:hanging="795"/>
      </w:pPr>
      <w:rPr>
        <w:rFonts w:hint="default"/>
        <w:lang w:val="en-US" w:eastAsia="en-US" w:bidi="en-US"/>
      </w:rPr>
    </w:lvl>
  </w:abstractNum>
  <w:num w:numId="1" w16cid:durableId="1694184752">
    <w:abstractNumId w:val="3"/>
  </w:num>
  <w:num w:numId="2" w16cid:durableId="398602699">
    <w:abstractNumId w:val="1"/>
  </w:num>
  <w:num w:numId="3" w16cid:durableId="1549493057">
    <w:abstractNumId w:val="0"/>
  </w:num>
  <w:num w:numId="4" w16cid:durableId="1074204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ysLS0NLAwNTQ1N7RQ0lEKTi0uzszPAykwqgUAsuFSvCwAAAA="/>
  </w:docVars>
  <w:rsids>
    <w:rsidRoot w:val="00DB096D"/>
    <w:rsid w:val="000578C0"/>
    <w:rsid w:val="00060C52"/>
    <w:rsid w:val="000D245C"/>
    <w:rsid w:val="000D4A07"/>
    <w:rsid w:val="001638AE"/>
    <w:rsid w:val="001970E4"/>
    <w:rsid w:val="001C2003"/>
    <w:rsid w:val="0035636C"/>
    <w:rsid w:val="00364666"/>
    <w:rsid w:val="00364916"/>
    <w:rsid w:val="003705E0"/>
    <w:rsid w:val="00377258"/>
    <w:rsid w:val="003D216B"/>
    <w:rsid w:val="003D74AF"/>
    <w:rsid w:val="00455F48"/>
    <w:rsid w:val="004838D4"/>
    <w:rsid w:val="00492277"/>
    <w:rsid w:val="00570320"/>
    <w:rsid w:val="005A0FCB"/>
    <w:rsid w:val="005B4694"/>
    <w:rsid w:val="006A346E"/>
    <w:rsid w:val="006C5219"/>
    <w:rsid w:val="006E5030"/>
    <w:rsid w:val="00716F5E"/>
    <w:rsid w:val="007447CD"/>
    <w:rsid w:val="00773CDE"/>
    <w:rsid w:val="007D5531"/>
    <w:rsid w:val="007E1CCF"/>
    <w:rsid w:val="009B6F4E"/>
    <w:rsid w:val="009F7264"/>
    <w:rsid w:val="00A205EC"/>
    <w:rsid w:val="00A23612"/>
    <w:rsid w:val="00A43F58"/>
    <w:rsid w:val="00A9662F"/>
    <w:rsid w:val="00AE0BAA"/>
    <w:rsid w:val="00B37EDE"/>
    <w:rsid w:val="00B47E72"/>
    <w:rsid w:val="00B729B6"/>
    <w:rsid w:val="00B974BC"/>
    <w:rsid w:val="00BF3279"/>
    <w:rsid w:val="00C00EFD"/>
    <w:rsid w:val="00C1011E"/>
    <w:rsid w:val="00C52330"/>
    <w:rsid w:val="00C5706D"/>
    <w:rsid w:val="00C96A96"/>
    <w:rsid w:val="00D02FCA"/>
    <w:rsid w:val="00DB096D"/>
    <w:rsid w:val="00DC6BB0"/>
    <w:rsid w:val="00E45B04"/>
    <w:rsid w:val="00E9611C"/>
    <w:rsid w:val="00EB2B65"/>
    <w:rsid w:val="00F30DEC"/>
    <w:rsid w:val="00F52C37"/>
    <w:rsid w:val="00FA5E85"/>
    <w:rsid w:val="00FD29FF"/>
    <w:rsid w:val="00FD6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E8201"/>
  <w15:docId w15:val="{54513E88-FC80-4BF1-81AA-C69EAF49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41" w:hanging="7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0" w:hanging="721"/>
    </w:pPr>
  </w:style>
  <w:style w:type="paragraph" w:customStyle="1" w:styleId="TableParagraph">
    <w:name w:val="Table Paragraph"/>
    <w:basedOn w:val="Normal"/>
    <w:uiPriority w:val="1"/>
    <w:qFormat/>
  </w:style>
  <w:style w:type="paragraph" w:styleId="NoSpacing">
    <w:name w:val="No Spacing"/>
    <w:uiPriority w:val="1"/>
    <w:qFormat/>
    <w:rsid w:val="00A205EC"/>
    <w:rPr>
      <w:rFonts w:ascii="Times New Roman" w:eastAsia="Times New Roman" w:hAnsi="Times New Roman" w:cs="Times New Roman"/>
      <w:lang w:bidi="en-US"/>
    </w:rPr>
  </w:style>
  <w:style w:type="paragraph" w:styleId="Header">
    <w:name w:val="header"/>
    <w:basedOn w:val="Normal"/>
    <w:link w:val="HeaderChar"/>
    <w:uiPriority w:val="99"/>
    <w:unhideWhenUsed/>
    <w:rsid w:val="00C5706D"/>
    <w:pPr>
      <w:tabs>
        <w:tab w:val="center" w:pos="4513"/>
        <w:tab w:val="right" w:pos="9026"/>
      </w:tabs>
    </w:pPr>
  </w:style>
  <w:style w:type="character" w:customStyle="1" w:styleId="HeaderChar">
    <w:name w:val="Header Char"/>
    <w:basedOn w:val="DefaultParagraphFont"/>
    <w:link w:val="Header"/>
    <w:uiPriority w:val="99"/>
    <w:rsid w:val="00C5706D"/>
    <w:rPr>
      <w:rFonts w:ascii="Times New Roman" w:eastAsia="Times New Roman" w:hAnsi="Times New Roman" w:cs="Times New Roman"/>
      <w:lang w:bidi="en-US"/>
    </w:rPr>
  </w:style>
  <w:style w:type="paragraph" w:styleId="Footer">
    <w:name w:val="footer"/>
    <w:basedOn w:val="Normal"/>
    <w:link w:val="FooterChar"/>
    <w:uiPriority w:val="99"/>
    <w:unhideWhenUsed/>
    <w:rsid w:val="00C5706D"/>
    <w:pPr>
      <w:tabs>
        <w:tab w:val="center" w:pos="4513"/>
        <w:tab w:val="right" w:pos="9026"/>
      </w:tabs>
    </w:pPr>
  </w:style>
  <w:style w:type="character" w:customStyle="1" w:styleId="FooterChar">
    <w:name w:val="Footer Char"/>
    <w:basedOn w:val="DefaultParagraphFont"/>
    <w:link w:val="Footer"/>
    <w:uiPriority w:val="99"/>
    <w:rsid w:val="00C5706D"/>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D2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45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Viplaw</dc:creator>
  <cp:lastModifiedBy>Microsoft Office User</cp:lastModifiedBy>
  <cp:revision>50</cp:revision>
  <dcterms:created xsi:type="dcterms:W3CDTF">2021-01-17T07:08:00Z</dcterms:created>
  <dcterms:modified xsi:type="dcterms:W3CDTF">2023-08-09T10:22:00Z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Acrobat PDFMaker 11 for Word</vt:lpwstr>
  </property>
  <property fmtid="{D5CDD505-2E9C-101B-9397-08002B2CF9AE}" pid="4" name="LastSaved">
    <vt:filetime>2021-01-17T00:00:00Z</vt:filetime>
  </property>
</Properties>
</file>